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kno-20260527.htm"/>
      <w:bookmarkStart w:id="1" w:name="kstkno202605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Alpha Teknova,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2451 Bert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Hollister,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831</w:t>
            </w:r>
            <w:r>
              <w:rPr>
                <w:rFonts w:ascii="Times New Roman" w:hAnsi="Times New Roman"/>
                <w:color w:val="000000"/>
                <w:sz w:val="20"/>
              </w:rPr>
              <w:t xml:space="preserve"> </w:t>
            </w:r>
            <w:r>
              <w:rPr>
                <w:rFonts w:ascii="Times New Roman" w:hAnsi="Times New Roman"/>
                <w:b/>
                <w:color w:val="000000"/>
                <w:sz w:val="20"/>
              </w:rPr>
              <w:t>637-1100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TKNO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27, 2026, Irene Davis, a member of the Board of Directors (the “Board”) of Alpha Teknova, Inc. (the “Company”) and a member of the Nominating and Corporate Governance Committee, notified the Company of her intention not to stand for re-election to the Board at the Company’s 2026 Annual Meeting of Stockholders (the “Meeting”) and to retire from the Board and all committees thereof, effective upon the date of the Meeting. Ms. Davis’s decision not to stand for re-election and retire is due to her other personal and professional interests and does not arise from any disagreement with the Board or the Company on any matter relating to the Company’s operations, policies, or practices or any issue impacting the Board. The Company thanks Ms. Davis for her service on the Board and the Nominating and Corporate Governance Committee and wishes her well.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effect on June 1, 2026, the Board, upon the recommendation of the Nominating and Corporate Governance Committee, adopted a resolution by unanimous written consent decreasing the number of directors on the Company’s Board from eight to seven and the number of Class II directors from three to two, taking account of Ms. Davis’s retirement from the Board. The Board has also appointed Ms. Demski, an existing member of the Board, to serve on the Nominating and Corporate Governance Committee, effective June 1, 2026, filling the vacancy on the Committee created by Ms. Davis’s retirement.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 2026, the Company held the Meeting. At the Meeting, a total of 47,821,520 shares, or 89.20% of the Company’s common stock issued and outstanding as of the record date, were represented in person or by proxy.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Meeting, the Company’s stockholders considered two proposals, each of which is described in more detail in the Company’s definitive proxy statement for the Meeting filed with the Securities and Exchange Commission on April 21, 2026 (the “2026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 forth below is a brief description of each matter voted upon at the Meeting and the voting results with respect to each matter.</w:t>
      </w:r>
    </w:p>
    <w:p>
      <w:pPr>
        <w:pStyle w:val="TextBody"/>
        <w:bidi w:val="0"/>
        <w:spacing w:before="240" w:after="283"/>
        <w:jc w:val="both"/>
        <w:rPr>
          <w:rFonts w:ascii="Times New Roman" w:hAnsi="Times New Roman"/>
          <w:sz w:val="20"/>
        </w:rPr>
      </w:pPr>
      <w:r>
        <w:rPr>
          <w:rFonts w:ascii="Times New Roman" w:hAnsi="Times New Roman"/>
          <w:b/>
          <w:color w:val="000000"/>
          <w:sz w:val="20"/>
        </w:rPr>
        <w:t>Proposal No. 1</w:t>
      </w:r>
      <w:r>
        <w:rPr>
          <w:rFonts w:ascii="Times New Roman" w:hAnsi="Times New Roman"/>
          <w:color w:val="000000"/>
          <w:sz w:val="20"/>
        </w:rPr>
        <w:t>: To elect the following nominees to serve as Class II directors until the Company’s 2029 Annual Meeting of Stockholders and until their successors are duly elected and qualified.</w:t>
      </w:r>
    </w:p>
    <w:p>
      <w:pPr>
        <w:pStyle w:val="TextBody"/>
        <w:bidi w:val="0"/>
        <w:jc w:val="both"/>
        <w:rPr/>
      </w:pPr>
      <w:r>
        <w:rPr/>
        <w:t> </w:t>
      </w:r>
    </w:p>
    <w:tbl>
      <w:tblPr>
        <w:tblW w:w="6082" w:type="dxa"/>
        <w:jc w:val="left"/>
        <w:tblInd w:w="0" w:type="dxa"/>
        <w:tblLayout w:type="fixed"/>
        <w:tblCellMar>
          <w:top w:w="28" w:type="dxa"/>
          <w:left w:w="28" w:type="dxa"/>
          <w:bottom w:w="28" w:type="dxa"/>
          <w:right w:w="28" w:type="dxa"/>
        </w:tblCellMar>
      </w:tblPr>
      <w:tblGrid>
        <w:gridCol w:w="1996"/>
        <w:gridCol w:w="146"/>
        <w:gridCol w:w="1036"/>
        <w:gridCol w:w="146"/>
        <w:gridCol w:w="931"/>
        <w:gridCol w:w="146"/>
        <w:gridCol w:w="168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Nominee</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240" w:after="283"/>
              <w:jc w:val="left"/>
              <w:rPr/>
            </w:pPr>
            <w:r>
              <w:rPr/>
              <w:t> </w:t>
            </w:r>
          </w:p>
        </w:tc>
        <w:tc>
          <w:tcPr>
            <w:tcW w:w="1036"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240" w:after="283"/>
              <w:jc w:val="lef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Withhold</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240" w:after="283"/>
              <w:jc w:val="left"/>
              <w:rPr/>
            </w:pPr>
            <w:r>
              <w:rPr/>
              <w:t> </w:t>
            </w:r>
          </w:p>
        </w:tc>
        <w:tc>
          <w:tcPr>
            <w:tcW w:w="1681"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996"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J. Matthew Mackowski</w:t>
            </w:r>
          </w:p>
        </w:tc>
        <w:tc>
          <w:tcPr>
            <w:tcW w:w="146" w:type="dxa"/>
            <w:tcBorders/>
            <w:shd w:fill="CCEEFF" w:val="clear"/>
            <w:tcMar>
              <w:top w:w="0" w:type="dxa"/>
              <w:left w:w="0" w:type="dxa"/>
              <w:bottom w:w="0" w:type="dxa"/>
              <w:right w:w="0" w:type="dxa"/>
            </w:tcMar>
            <w:vAlign w:val="center"/>
          </w:tcPr>
          <w:p>
            <w:pPr>
              <w:pStyle w:val="TableContents"/>
              <w:bidi w:val="0"/>
              <w:spacing w:before="24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43,723,902</w:t>
            </w:r>
          </w:p>
        </w:tc>
        <w:tc>
          <w:tcPr>
            <w:tcW w:w="146" w:type="dxa"/>
            <w:tcBorders/>
            <w:shd w:fill="CCEEFF" w:val="clear"/>
            <w:tcMar>
              <w:top w:w="0" w:type="dxa"/>
              <w:left w:w="0" w:type="dxa"/>
              <w:bottom w:w="0" w:type="dxa"/>
              <w:right w:w="0" w:type="dxa"/>
            </w:tcMar>
            <w:vAlign w:val="center"/>
          </w:tcPr>
          <w:p>
            <w:pPr>
              <w:pStyle w:val="TableContents"/>
              <w:bidi w:val="0"/>
              <w:spacing w:before="24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1,036,603</w:t>
            </w:r>
          </w:p>
        </w:tc>
        <w:tc>
          <w:tcPr>
            <w:tcW w:w="146" w:type="dxa"/>
            <w:tcBorders/>
            <w:shd w:fill="CCEEFF" w:val="clear"/>
            <w:tcMar>
              <w:top w:w="0" w:type="dxa"/>
              <w:left w:w="0" w:type="dxa"/>
              <w:bottom w:w="0" w:type="dxa"/>
              <w:right w:w="0" w:type="dxa"/>
            </w:tcMar>
            <w:vAlign w:val="center"/>
          </w:tcPr>
          <w:p>
            <w:pPr>
              <w:pStyle w:val="TableContents"/>
              <w:bidi w:val="0"/>
              <w:spacing w:before="24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3,061,015</w:t>
            </w:r>
          </w:p>
        </w:tc>
      </w:tr>
      <w:tr>
        <w:trPr/>
        <w:tc>
          <w:tcPr>
            <w:tcW w:w="199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Brett Robertson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44,003,280</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9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757,225</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3,061,015</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Ms. Davis’s decision not to stand for re-election to the Board as contemplated in the 2026 Proxy Statement and to retire from the Board effective upon the date of the Meeting, any votes cast regarding the election of Ms. Davis at the Meeting were not counted.</w:t>
      </w:r>
    </w:p>
    <w:p>
      <w:pPr>
        <w:pStyle w:val="TextBody"/>
        <w:bidi w:val="0"/>
        <w:spacing w:before="240" w:after="283"/>
        <w:jc w:val="both"/>
        <w:rPr>
          <w:rFonts w:ascii="Times New Roman" w:hAnsi="Times New Roman"/>
          <w:sz w:val="20"/>
        </w:rPr>
      </w:pPr>
      <w:r>
        <w:rPr>
          <w:rFonts w:ascii="Times New Roman" w:hAnsi="Times New Roman"/>
          <w:b/>
          <w:color w:val="000000"/>
          <w:sz w:val="20"/>
        </w:rPr>
        <w:t>Proposal No. 2</w:t>
      </w:r>
      <w:r>
        <w:rPr>
          <w:rFonts w:ascii="Times New Roman" w:hAnsi="Times New Roman"/>
          <w:color w:val="000000"/>
          <w:sz w:val="20"/>
        </w:rPr>
        <w:t>: To ratify the appointment of Grant Thornton LLP as the Company’s independent registered public accounting firm for the fiscal year ending December 31, 2026.</w:t>
      </w:r>
    </w:p>
    <w:p>
      <w:pPr>
        <w:pStyle w:val="TextBody"/>
        <w:bidi w:val="0"/>
        <w:jc w:val="both"/>
        <w:rPr/>
      </w:pPr>
      <w:r>
        <w:rPr/>
        <w:t> </w:t>
      </w:r>
    </w:p>
    <w:tbl>
      <w:tblPr>
        <w:tblW w:w="3220" w:type="dxa"/>
        <w:jc w:val="left"/>
        <w:tblInd w:w="0" w:type="dxa"/>
        <w:tblLayout w:type="fixed"/>
        <w:tblCellMar>
          <w:top w:w="28" w:type="dxa"/>
          <w:left w:w="28" w:type="dxa"/>
          <w:bottom w:w="28" w:type="dxa"/>
          <w:right w:w="28" w:type="dxa"/>
        </w:tblCellMar>
      </w:tblPr>
      <w:tblGrid>
        <w:gridCol w:w="1051"/>
        <w:gridCol w:w="146"/>
        <w:gridCol w:w="751"/>
        <w:gridCol w:w="146"/>
        <w:gridCol w:w="112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240" w:after="283"/>
              <w:jc w:val="left"/>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240" w:after="283"/>
              <w:jc w:val="left"/>
              <w:rPr/>
            </w:pPr>
            <w:r>
              <w:rPr/>
              <w:t> </w:t>
            </w:r>
          </w:p>
        </w:tc>
        <w:tc>
          <w:tcPr>
            <w:tcW w:w="1126" w:type="dxa"/>
            <w:tcBorders>
              <w:bottom w:val="single" w:sz="8" w:space="0" w:color="000000"/>
            </w:tcBorders>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Abstentions</w:t>
            </w:r>
          </w:p>
        </w:tc>
      </w:tr>
      <w:tr>
        <w:trPr/>
        <w:tc>
          <w:tcPr>
            <w:tcW w:w="1051"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47,753,544</w:t>
            </w:r>
          </w:p>
        </w:tc>
        <w:tc>
          <w:tcPr>
            <w:tcW w:w="146" w:type="dxa"/>
            <w:tcBorders/>
            <w:shd w:fill="CCEEFF" w:val="clear"/>
            <w:tcMar>
              <w:top w:w="0" w:type="dxa"/>
              <w:left w:w="0" w:type="dxa"/>
              <w:bottom w:w="0" w:type="dxa"/>
              <w:right w:w="0" w:type="dxa"/>
            </w:tcMar>
            <w:vAlign w:val="center"/>
          </w:tcPr>
          <w:p>
            <w:pPr>
              <w:pStyle w:val="TableContents"/>
              <w:bidi w:val="0"/>
              <w:spacing w:before="24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2,167</w:t>
            </w:r>
          </w:p>
        </w:tc>
        <w:tc>
          <w:tcPr>
            <w:tcW w:w="146" w:type="dxa"/>
            <w:tcBorders/>
            <w:shd w:fill="CCEEFF" w:val="clear"/>
            <w:tcMar>
              <w:top w:w="0" w:type="dxa"/>
              <w:left w:w="0" w:type="dxa"/>
              <w:bottom w:w="0" w:type="dxa"/>
              <w:right w:w="0" w:type="dxa"/>
            </w:tcMar>
            <w:vAlign w:val="center"/>
          </w:tcPr>
          <w:p>
            <w:pPr>
              <w:pStyle w:val="TableContents"/>
              <w:bidi w:val="0"/>
              <w:spacing w:before="24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65,809</w:t>
            </w:r>
          </w:p>
        </w:tc>
      </w:tr>
    </w:tbl>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59" w:type="dxa"/>
        <w:jc w:val="left"/>
        <w:tblInd w:w="0" w:type="dxa"/>
        <w:tblLayout w:type="fixed"/>
        <w:tblCellMar>
          <w:top w:w="28" w:type="dxa"/>
          <w:left w:w="28" w:type="dxa"/>
          <w:bottom w:w="28" w:type="dxa"/>
          <w:right w:w="28" w:type="dxa"/>
        </w:tblCellMar>
      </w:tblPr>
      <w:tblGrid>
        <w:gridCol w:w="556"/>
        <w:gridCol w:w="114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ALPHA TEKNOVA,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Gunstream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Stephen Gunstream</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4692</Characters>
  <CharactersWithSpaces>5547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