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kno-20260504.htm"/>
      <w:bookmarkStart w:id="1" w:name="kstkno2026050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04,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Alpha Teknova,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001-40538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94-3368109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2451 Bert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Hollister,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95023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831</w:t>
            </w:r>
            <w:r>
              <w:rPr>
                <w:rFonts w:ascii="Times New Roman" w:hAnsi="Times New Roman"/>
                <w:color w:val="000000"/>
                <w:sz w:val="20"/>
              </w:rPr>
              <w:t xml:space="preserve"> </w:t>
            </w:r>
            <w:r>
              <w:rPr>
                <w:rFonts w:ascii="Times New Roman" w:hAnsi="Times New Roman"/>
                <w:b/>
                <w:color w:val="000000"/>
                <w:sz w:val="20"/>
              </w:rPr>
              <w:t>637-1100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TKNO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6, 2026, Alpha Teknova, Inc. (the “Company”) issued a press release announcing its financial results for the first quarter ended March 31, 2026 (the “Press Release”). A copy of the Press Release is attached hereto as Exhibit 99.1 and is incorporated herein by reference. The information in this Item 2.02, including the Press Release, is intended to be furnished under Item 2.02 and Item 9.01 of Form 8-K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5.05 Amendments to the Registrant’s Code of Ethics, or Waiver of a Provision of the Code of Ethics.</w:t>
      </w:r>
    </w:p>
    <w:p>
      <w:pPr>
        <w:pStyle w:val="TextBody"/>
        <w:bidi w:val="0"/>
        <w:spacing w:before="120" w:after="80"/>
        <w:jc w:val="left"/>
        <w:rPr>
          <w:rFonts w:ascii="Times New Roman" w:hAnsi="Times New Roman"/>
          <w:color w:val="000000"/>
          <w:sz w:val="20"/>
        </w:rPr>
      </w:pPr>
      <w:r>
        <w:rPr>
          <w:rFonts w:ascii="Times New Roman" w:hAnsi="Times New Roman"/>
          <w:color w:val="000000"/>
          <w:sz w:val="20"/>
        </w:rPr>
        <w:t>On May 4, 2026, the Board of Directors of the Company approved an amended and restated Code of Business Conduct and Ethics (the “Code”). The Code was amended to, among other things, update for current compliance best practices, streamline and clarify existing provisions, promote consistency in cross-reference to other of the Company’s polices, and to make other non-substantive administrative and stylistic improvements. The amendments do not constitute, or result in, a waiver of any provision of the Code as previously in effect.</w:t>
      </w:r>
    </w:p>
    <w:p>
      <w:pPr>
        <w:pStyle w:val="TextBody"/>
        <w:bidi w:val="0"/>
        <w:spacing w:before="160" w:after="80"/>
        <w:jc w:val="left"/>
        <w:rPr>
          <w:rFonts w:ascii="Times New Roman" w:hAnsi="Times New Roman"/>
          <w:color w:val="000000"/>
          <w:sz w:val="20"/>
        </w:rPr>
      </w:pPr>
      <w:r>
        <w:rPr>
          <w:rFonts w:ascii="Times New Roman" w:hAnsi="Times New Roman"/>
          <w:color w:val="000000"/>
          <w:sz w:val="20"/>
        </w:rPr>
        <w:t>The foregoing description of the amendments to the Code does not purport to be complete and is qualified in its entirety by reference to the full text of the Code, which available on the “Investor Relations – Corporate Governance” section of the Company’s website at www.teknova.com.The contents of the Company’s website are not incorporated by reference in this Current Report on Form 8-K.</w:t>
      </w:r>
    </w:p>
    <w:p>
      <w:pPr>
        <w:pStyle w:val="Heading2"/>
        <w:bidi w:val="0"/>
        <w:spacing w:before="28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(d) Exhibits.</w:t>
      </w:r>
    </w:p>
    <w:tbl>
      <w:tblPr>
        <w:tblW w:w="7791" w:type="dxa"/>
        <w:jc w:val="left"/>
        <w:tblInd w:w="0" w:type="dxa"/>
        <w:tblLayout w:type="fixed"/>
        <w:tblCellMar>
          <w:top w:w="28" w:type="dxa"/>
          <w:left w:w="28" w:type="dxa"/>
          <w:bottom w:w="28" w:type="dxa"/>
          <w:right w:w="28" w:type="dxa"/>
        </w:tblCellMar>
      </w:tblPr>
      <w:tblGrid>
        <w:gridCol w:w="1081"/>
        <w:gridCol w:w="109"/>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09"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kno-ex99_1.htm">
              <w:r>
                <w:rPr>
                  <w:rStyle w:val="InternetLink"/>
                  <w:rFonts w:ascii="Times New Roman" w:hAnsi="Times New Roman"/>
                  <w:color w:val="0000FF"/>
                  <w:sz w:val="20"/>
                  <w:u w:val="single"/>
                </w:rPr>
                <w:t>Press Release issued by Alpha Teknova, Inc., dated May 6,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359" w:type="dxa"/>
        <w:jc w:val="left"/>
        <w:tblInd w:w="0" w:type="dxa"/>
        <w:tblLayout w:type="fixed"/>
        <w:tblCellMar>
          <w:top w:w="28" w:type="dxa"/>
          <w:left w:w="28" w:type="dxa"/>
          <w:bottom w:w="28" w:type="dxa"/>
          <w:right w:w="28" w:type="dxa"/>
        </w:tblCellMar>
      </w:tblPr>
      <w:tblGrid>
        <w:gridCol w:w="556"/>
        <w:gridCol w:w="1141"/>
        <w:gridCol w:w="45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ALPHA TEKNOVA,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Stephen Gunstream</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Stephen Gunstream</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4"/>
        </w:rPr>
      </w:pPr>
      <w:bookmarkStart w:id="2" w:name="tkno-ex99_1.htm"/>
      <w:bookmarkStart w:id="3" w:name="kstknoex99_1"/>
      <w:bookmarkEnd w:id="2"/>
      <w:bookmarkEnd w:id="3"/>
      <w:r>
        <w:rPr>
          <w:rFonts w:ascii="sans-serif" w:hAnsi="sans-serif"/>
          <w:b/>
          <w:color w:val="000000"/>
          <w:sz w:val="24"/>
        </w:rPr>
        <w:t>Exhibit 99.1</w:t>
      </w:r>
      <w:r>
        <w:br w:type="page"/>
      </w:r>
    </w:p>
    <w:p>
      <w:pPr>
        <w:pStyle w:val="TextBody"/>
        <w:bidi w:val="0"/>
        <w:jc w:val="right"/>
        <w:rPr/>
      </w:pPr>
      <w:r>
        <w:rPr/>
        <w:t> </w:t>
      </w:r>
    </w:p>
    <w:p>
      <w:pPr>
        <w:pStyle w:val="TextBody"/>
        <w:bidi w:val="0"/>
        <w:jc w:val="center"/>
        <w:rPr/>
      </w:pPr>
      <w:r>
        <w:rPr/>
        <w:drawing>
          <wp:inline distT="0" distB="0" distL="0" distR="0">
            <wp:extent cx="180022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00225" cy="352425"/>
                    </a:xfrm>
                    <a:prstGeom prst="rect">
                      <a:avLst/>
                    </a:prstGeom>
                  </pic:spPr>
                </pic:pic>
              </a:graphicData>
            </a:graphic>
          </wp:inline>
        </w:drawing>
      </w:r>
    </w:p>
    <w:p>
      <w:pPr>
        <w:pStyle w:val="TextBody"/>
        <w:bidi w:val="0"/>
        <w:jc w:val="center"/>
        <w:rPr/>
      </w:pPr>
      <w:r>
        <w:rPr/>
        <w:t> </w:t>
      </w:r>
    </w:p>
    <w:p>
      <w:pPr>
        <w:pStyle w:val="TextBody"/>
        <w:bidi w:val="0"/>
        <w:jc w:val="center"/>
        <w:rPr>
          <w:rFonts w:ascii="sans-serif" w:hAnsi="sans-serif"/>
          <w:b/>
          <w:color w:val="000000"/>
          <w:sz w:val="28"/>
        </w:rPr>
      </w:pPr>
      <w:r>
        <w:rPr>
          <w:rFonts w:ascii="sans-serif" w:hAnsi="sans-serif"/>
          <w:b/>
          <w:color w:val="000000"/>
          <w:sz w:val="28"/>
        </w:rPr>
        <w:t>Teknova Reports First Quarter 2026 Financial Results</w:t>
      </w:r>
    </w:p>
    <w:p>
      <w:pPr>
        <w:pStyle w:val="TextBody"/>
        <w:bidi w:val="0"/>
        <w:jc w:val="center"/>
        <w:rPr/>
      </w:pPr>
      <w:r>
        <w:rPr/>
        <w:t> </w:t>
      </w:r>
    </w:p>
    <w:p>
      <w:pPr>
        <w:pStyle w:val="TextBody"/>
        <w:bidi w:val="0"/>
        <w:jc w:val="center"/>
        <w:rPr>
          <w:rFonts w:ascii="sans-serif" w:hAnsi="sans-serif"/>
          <w:i/>
          <w:color w:val="000000"/>
          <w:sz w:val="24"/>
        </w:rPr>
      </w:pPr>
      <w:r>
        <w:rPr>
          <w:rFonts w:ascii="sans-serif" w:hAnsi="sans-serif"/>
          <w:i/>
          <w:color w:val="000000"/>
          <w:sz w:val="24"/>
        </w:rPr>
        <w:t>First quarter 2026 total revenue was $11.1 million, up 13% over the same quarter prior year</w:t>
      </w:r>
    </w:p>
    <w:p>
      <w:pPr>
        <w:pStyle w:val="TextBody"/>
        <w:bidi w:val="0"/>
        <w:jc w:val="center"/>
        <w:rPr>
          <w:rFonts w:ascii="sans-serif" w:hAnsi="sans-serif"/>
          <w:i/>
          <w:color w:val="000000"/>
          <w:sz w:val="24"/>
        </w:rPr>
      </w:pPr>
      <w:r>
        <w:rPr>
          <w:rFonts w:ascii="sans-serif" w:hAnsi="sans-serif"/>
          <w:i/>
          <w:color w:val="000000"/>
          <w:sz w:val="24"/>
        </w:rPr>
        <w:t>Company reaffirms 2026 revenue guidance of $42-44 million</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HOLLISTER, Calif., May 6, 2026</w:t>
      </w:r>
      <w:r>
        <w:rPr>
          <w:rFonts w:ascii="Times New Roman" w:hAnsi="Times New Roman"/>
          <w:color w:val="000000"/>
          <w:sz w:val="20"/>
        </w:rPr>
        <w:t xml:space="preserve"> – </w:t>
      </w:r>
      <w:r>
        <w:rPr>
          <w:rFonts w:ascii="sans-serif" w:hAnsi="sans-serif"/>
          <w:color w:val="000000"/>
          <w:sz w:val="24"/>
        </w:rPr>
        <w:t>Alpha Teknova, Inc. (“Teknova” or the “Company”) (Nasdaq: TKNO), a leading producer of critical reagents for the discovery, development, and commercialization of novel therapies, vaccines, and molecular diagnostics, today announced financial results for the first quarter ended March 31, 2026.</w:t>
      </w:r>
    </w:p>
    <w:p>
      <w:pPr>
        <w:pStyle w:val="TextBody"/>
        <w:bidi w:val="0"/>
        <w:jc w:val="left"/>
        <w:rPr/>
      </w:pPr>
      <w:r>
        <w:rPr/>
        <w:t> </w:t>
      </w:r>
    </w:p>
    <w:p>
      <w:pPr>
        <w:pStyle w:val="TextBody"/>
        <w:bidi w:val="0"/>
        <w:jc w:val="left"/>
        <w:rPr>
          <w:color w:val="000000"/>
        </w:rPr>
      </w:pPr>
      <w:r>
        <w:rPr>
          <w:color w:val="000000"/>
        </w:rPr>
        <w:t>“</w:t>
      </w:r>
      <w:r>
        <w:rPr>
          <w:rFonts w:ascii="sans-serif" w:hAnsi="sans-serif"/>
          <w:color w:val="000000"/>
          <w:sz w:val="24"/>
        </w:rPr>
        <w:t>We had a great start to 2026,” said Stephen Gunstream, President and Chief Executive Officer at Teknova. “The substantial investments we’ve made since 2021, combined with an improved market backdrop, position Teknova for sustainable above-market growth over the next couple years, particularly as our Clinical Solutions customers advance their therapies and diagnostics towards commercialization.”</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Matt Lowell, Teknova’s Chief Financial Officer, added, “We delivered strong financial results in the first quarter 2026 compared to 2025, including 13% revenue growth and significant improvements in Adjusted EBITDA and Free Cash Outflow. We believe the Company is well positioned to maintain its momentum. We therefore reiterate our 2026 revenue guidance of $42-44 million and continue to anticipate full-year Free Cash Outflow of less than $10 million,” he explained.</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Corporate and Financial Updates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4"/>
        </w:rPr>
      </w:pPr>
      <w:r>
        <w:rPr>
          <w:rFonts w:ascii="sans-serif" w:hAnsi="sans-serif"/>
          <w:color w:val="000000"/>
          <w:sz w:val="24"/>
        </w:rPr>
        <w:t>First quarter 2026 total revenue of $11.1 million, up 13% compared to $9.8 million for the first quarter 2025</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4"/>
        </w:rPr>
      </w:pPr>
      <w:r>
        <w:rPr>
          <w:rFonts w:ascii="sans-serif" w:hAnsi="sans-serif"/>
          <w:color w:val="000000"/>
          <w:sz w:val="24"/>
        </w:rPr>
        <w:t>Total cash and short-term investments were $17.8 million and total borrowings were $13.2 million at the end of the first quarter 2026</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Revenue for the First Quarter 2026</w:t>
      </w:r>
    </w:p>
    <w:p>
      <w:pPr>
        <w:pStyle w:val="TextBody"/>
        <w:bidi w:val="0"/>
        <w:jc w:val="left"/>
        <w:rPr/>
      </w:pPr>
      <w:r>
        <w:rPr/>
        <w:t> </w:t>
      </w:r>
    </w:p>
    <w:tbl>
      <w:tblPr>
        <w:tblW w:w="4281" w:type="dxa"/>
        <w:jc w:val="left"/>
        <w:tblInd w:w="0" w:type="dxa"/>
        <w:tblLayout w:type="fixed"/>
        <w:tblCellMar>
          <w:top w:w="28" w:type="dxa"/>
          <w:left w:w="28" w:type="dxa"/>
          <w:bottom w:w="28" w:type="dxa"/>
          <w:right w:w="28" w:type="dxa"/>
        </w:tblCellMar>
      </w:tblPr>
      <w:tblGrid>
        <w:gridCol w:w="1711"/>
        <w:gridCol w:w="146"/>
        <w:gridCol w:w="240"/>
        <w:gridCol w:w="770"/>
        <w:gridCol w:w="166"/>
        <w:gridCol w:w="166"/>
        <w:gridCol w:w="240"/>
        <w:gridCol w:w="651"/>
        <w:gridCol w:w="19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Ended </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Essentials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First Quarter 2026 Financial Results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Total revenue for the first quarter 2026 was $11.1 million, up 13% compared to $9.8 million in the first quarter 2025. Lab Essentials revenue was $8.4 million in the first quarter 2026, up 3% compared to $8.1 million in the first quarter 2025. Clinical Solutions revenue was $2.1 million in the first quarter 2026, up 85% compared to $1.2 million in the first quarter 2025.</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4"/>
        </w:rPr>
      </w:pPr>
      <w:r>
        <w:rPr>
          <w:rFonts w:ascii="sans-serif" w:hAnsi="sans-serif"/>
          <w:color w:val="000000"/>
          <w:sz w:val="24"/>
        </w:rPr>
        <w:t>Gross profit for the first quarter 2026 was $3.8 million, compared to $3.0 million in the first quarter 2025. Gross margin for the first quarter 2026 was 34.2%, compared to 30.7% in the first quarter 2025. The increase in gross margin was primarily driven by higher revenue.</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Operating expenses for the first quarter 2026 were $8.1 million, compared to $8.0 million in the first quarter 2025. The increase was primarily driven by higher spending in sales and marketing, resulting from higher headcount and increased marketing expenses, partially offset by lower general and administrative expenses attributable to lower stock-based compensation expense and professional fees.</w:t>
      </w:r>
    </w:p>
    <w:p>
      <w:pPr>
        <w:pStyle w:val="TextBody"/>
        <w:bidi w:val="0"/>
        <w:jc w:val="left"/>
        <w:rPr>
          <w:rFonts w:ascii="Times New Roman" w:hAnsi="Times New Roman"/>
          <w:sz w:val="20"/>
        </w:rPr>
      </w:pPr>
      <w:r>
        <w:rPr>
          <w:rFonts w:ascii="sans-serif" w:hAnsi="sans-serif"/>
          <w:color w:val="000000"/>
          <w:sz w:val="24"/>
        </w:rPr>
        <w:t>Net loss for the first quarter 2026 was $4.6 million, or negative $0.08 per diluted share, compared to $4.6 million, or negative $0.09 per diluted share, for the first quarter 2025. Adjusted EBITDA for the first quarter 2026 was negative $2.0 million, compared to negative $2.5 million for the first quarter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Cash used in operating activities for the first quarter 2026 was $3.4 million, compared to $4.1 million of cash used in operating activities for the first quarter 2025. Free Cash Outflow was $3.6 million for the first quarter 2026, compared to $4.3 million for the first quarter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A full reconciliation of these non-GAAP measures to the most comparable GAAP measures is included at the end of this release.</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Reaffirms 2026 Outlook</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Teknova reaffirms its fiscal 2026 outlook for revenue and Free Cash Outflow. The Company continues to anticipate total revenue of $42 million to $44 million for the fiscal year ending December 31, 2026 (“2026”). The Company also anticipates Free Cash Outflow of less than $10 million for 2026.</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Upcoming Investor Conference Attendance</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Craig-Hallum Institutional Investor Conference (Minneapolis, MN)</w:t>
      </w:r>
    </w:p>
    <w:p>
      <w:pPr>
        <w:pStyle w:val="TextBody"/>
        <w:bidi w:val="0"/>
        <w:jc w:val="left"/>
        <w:rPr>
          <w:rFonts w:ascii="sans-serif" w:hAnsi="sans-serif"/>
          <w:color w:val="000000"/>
          <w:sz w:val="24"/>
        </w:rPr>
      </w:pPr>
      <w:r>
        <w:rPr>
          <w:rFonts w:ascii="sans-serif" w:hAnsi="sans-serif"/>
          <w:color w:val="000000"/>
          <w:sz w:val="24"/>
        </w:rPr>
        <w:t>Thursday, May 28, 2026</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William Blair Growth Stock Conference (Chicago, IL)</w:t>
      </w:r>
    </w:p>
    <w:p>
      <w:pPr>
        <w:pStyle w:val="TextBody"/>
        <w:bidi w:val="0"/>
        <w:jc w:val="left"/>
        <w:rPr>
          <w:rFonts w:ascii="sans-serif" w:hAnsi="sans-serif"/>
          <w:color w:val="000000"/>
          <w:sz w:val="24"/>
        </w:rPr>
      </w:pPr>
      <w:r>
        <w:rPr>
          <w:rFonts w:ascii="sans-serif" w:hAnsi="sans-serif"/>
          <w:color w:val="000000"/>
          <w:sz w:val="24"/>
        </w:rPr>
        <w:t>Thursday, June 4, 2026</w:t>
      </w:r>
    </w:p>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4"/>
        </w:rPr>
        <w:t>Conference Call and Webcast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 xml:space="preserve">Teknova will host a webcast and conference call on Wednesday, May 6, 2026, beginning at 6:00 p.m. Eastern Time. To access the live webcast, listeners can log onto the call from the </w:t>
      </w:r>
      <w:r>
        <w:rPr>
          <w:rFonts w:ascii="sans-serif" w:hAnsi="sans-serif"/>
          <w:sz w:val="24"/>
        </w:rPr>
        <w:t>Investor Relations</w:t>
      </w:r>
      <w:r>
        <w:rPr>
          <w:rFonts w:ascii="Times New Roman" w:hAnsi="Times New Roman"/>
          <w:color w:val="000000"/>
          <w:sz w:val="20"/>
        </w:rPr>
        <w:t xml:space="preserve"> </w:t>
      </w:r>
      <w:r>
        <w:rPr>
          <w:rFonts w:ascii="sans-serif" w:hAnsi="sans-serif"/>
          <w:color w:val="000000"/>
          <w:sz w:val="24"/>
        </w:rPr>
        <w:t xml:space="preserve">section of the Teknova website or by using this </w:t>
      </w:r>
      <w:r>
        <w:rPr>
          <w:rFonts w:ascii="sans-serif" w:hAnsi="sans-serif"/>
          <w:sz w:val="24"/>
        </w:rPr>
        <w:t>link</w:t>
      </w:r>
      <w:r>
        <w:rPr>
          <w:rFonts w:ascii="sans-serif" w:hAnsi="sans-serif"/>
          <w:color w:val="000000"/>
          <w:sz w:val="24"/>
        </w:rPr>
        <w:t xml:space="preserve">. If you would like to participate in the call, please register for the webcast </w:t>
      </w:r>
      <w:r>
        <w:rPr>
          <w:rFonts w:ascii="sans-serif" w:hAnsi="sans-serif"/>
          <w:sz w:val="24"/>
        </w:rPr>
        <w:t>here</w:t>
      </w:r>
      <w:r>
        <w:rPr>
          <w:rFonts w:ascii="Times New Roman" w:hAnsi="Times New Roman"/>
          <w:color w:val="000000"/>
          <w:sz w:val="20"/>
        </w:rPr>
        <w:t xml:space="preserve"> </w:t>
      </w:r>
      <w:r>
        <w:rPr>
          <w:rFonts w:ascii="sans-serif" w:hAnsi="sans-serif"/>
          <w:color w:val="000000"/>
          <w:sz w:val="24"/>
        </w:rPr>
        <w:t>to receive a unique PIN number and dial-in information. The webcast will be available for replay on the Company’s website approximately two hours after the event.</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About Teknova</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Teknova makes solutions possible. Since 1996, Teknova has been innovating the manufacture of critical reagents for the life sciences industry to accelerate the discovery and development of novel breakthroughs that will help people live longer, healthier lives. We offer fully customizable solutions for every stage of the workflow, supporting industry leaders in genomics, molecular diagnostics, and emerging therapeutic</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sans-serif" w:hAnsi="sans-serif"/>
          <w:color w:val="000000"/>
          <w:sz w:val="24"/>
        </w:rPr>
        <w:t>modalities. Our fast turnaround of high-quality agar plates, microbial culture and cryopreservation media, buffers and reagents, and water helps our customers scale seamlessly from RUO to GMP. Headquartered in Hollister, California, with over 180,000 square feet of state-of-the-art facilities, Teknova’s modular manufacturing platform was designed by our team of scientists, engineers, and quality control experts to efficiently produce the foundational ingredients for the discovery and commercialization of next-generation therapies.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Non-GAAP Financial Measures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This press release contains financial measures that have not been calculated in accordance with U.S. generally accepted accounting principles (GAAP). Teknova uses the following non-GAAP financial measures in assessing the performance of its business and the effectiveness of its business strategies: (a) Adjusted EBITDA and (b) Free Cash Flow (Outflow).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Teknova defines Adjusted EBITDA as net income (loss) adjusted for interest income (expense), net, provision for (benefit from) income taxes, depreciation expense, amortization of intangible assets, and stock-based compensation expense. Adjusted EBITDA reflects further adjustments to eliminate the impact of certain items, including certain non-cash and other items that Teknova does not consider representative of its ongoing operating performance.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Teknova defines Free Cash Flow (Outflow) as cash provided by (used in) operating activities less purchases of property, plant, and equipment.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Teknova provides Adjusted EBITDA and Free Cash Flow (Outflow) in this press release because Teknova believes that analysts, investors, and other interested parties frequently use these measures to evaluate companies in Teknova’s industry and that such measures facilitate comparisons on a consistent basis across reporting periods. Teknova also believes such measures are helpful in highlighting trends in Teknova’s operating results because they exclude items that are not indicative of Teknova’s core operating performance. Investors should consider non-GAAP financial measures in addition to, and not as a substitute for, or as superior to, measures of financial performance prepared in accordance with GAAP. The non-GAAP financial measures presented by Teknova may be different from the non-GAAP financial measures used by other companies.</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A full reconciliation of these non-GAAP measures to the most comparable GAAP measures is included at the end of this release.</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Forward-Looking Statements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Statements in this press release about future expectations, plans, and prospects, as well as any other statements regarding matters that are not historical facts, may constitute “forward-looking statements.” These statements include, but are not limited to, statements relating to Teknova’s anticipated total revenue, including our expectations for 2026 revenue and Free Cash Outflow guidance, and other statements about Teknova’s business prospects, including about Teknova’s profitability, strategy of managing operating expenses, and long-term growth strategy. The words, without limitation, “anticipate,” “believe,” “continue,” “could,” “estimate,” “expect,” “intend,” “may,” “plan,” “potential,” “predict,” “project,” “should,” “target,” “will,” “would,” and similar expressions are intended to identify forward-looking statements, although not all forward-looking statements contain these or similar identifying words. These forward-looking statements are based on management’s current expectations and beliefs and are subject to risks and uncertainties, all of which are difficult to predict and many of which are beyond Teknova’s control and could cause actual results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sans-serif" w:hAnsi="sans-serif"/>
          <w:color w:val="000000"/>
          <w:sz w:val="24"/>
        </w:rPr>
      </w:pPr>
      <w:r>
        <w:rPr>
          <w:rFonts w:ascii="sans-serif" w:hAnsi="sans-serif"/>
          <w:color w:val="000000"/>
          <w:sz w:val="24"/>
        </w:rPr>
        <w:t>to differ materially and adversely from those described in the forward-looking statements. These risks and uncertainties include, but are not limited to, demand for Teknova’s products (including the potential delay to or pausing of customer orders); Teknova’s assessment of fundamental indicators of future demand across its target customer base; Teknova’s cash flows and revenue growth rate; Teknova’s supply chain, sourcing, manufacturing, and warehousing; inventory management; risks related to global economic and marketplace uncertainties, including those related to the conflicts in Ukraine and the Middle East; potential acquisitions and integration of other companies; and other factors discussed in the “Risk Factors” section of Teknova’s most recent periodic reports filed with the Securities and Exchange Commission (“SEC”), including in Teknova’s Annual Report on Form 10-K for the year ended December 31, 2025, and subsequent Quarterly Reports on Form 10-Q filed with the SEC, all of which you may obtain for free on the SEC’s website at www.sec.gov. Although Teknova believes that the expectations reflected in its forward-looking statements are reasonable, Teknova does not know whether its expectations will prove correct. You are cautioned not to place undue reliance on these forward-looking statements, which Teknova makes only as of the date hereof, even if they are repeated by Teknova subsequently. Teknova does not intend and shall have no obligation to update, amend, or clarify these forward-looking statements, except as may be required under applicable securities laws.</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Investor Contact</w:t>
      </w:r>
    </w:p>
    <w:p>
      <w:pPr>
        <w:pStyle w:val="TextBody"/>
        <w:bidi w:val="0"/>
        <w:jc w:val="left"/>
        <w:rPr>
          <w:rFonts w:ascii="sans-serif" w:hAnsi="sans-serif"/>
          <w:color w:val="000000"/>
          <w:sz w:val="24"/>
        </w:rPr>
      </w:pPr>
      <w:r>
        <w:rPr>
          <w:rFonts w:ascii="sans-serif" w:hAnsi="sans-serif"/>
          <w:color w:val="000000"/>
          <w:sz w:val="24"/>
        </w:rPr>
        <w:t>Matt Lowell</w:t>
      </w:r>
    </w:p>
    <w:p>
      <w:pPr>
        <w:pStyle w:val="TextBody"/>
        <w:bidi w:val="0"/>
        <w:jc w:val="left"/>
        <w:rPr>
          <w:rFonts w:ascii="sans-serif" w:hAnsi="sans-serif"/>
          <w:color w:val="000000"/>
          <w:sz w:val="24"/>
        </w:rPr>
      </w:pPr>
      <w:r>
        <w:rPr>
          <w:rFonts w:ascii="sans-serif" w:hAnsi="sans-serif"/>
          <w:color w:val="000000"/>
          <w:sz w:val="24"/>
        </w:rPr>
        <w:t>Chief Financial Officer</w:t>
      </w:r>
    </w:p>
    <w:p>
      <w:pPr>
        <w:pStyle w:val="TextBody"/>
        <w:bidi w:val="0"/>
        <w:jc w:val="left"/>
        <w:rPr>
          <w:rFonts w:ascii="sans-serif" w:hAnsi="sans-serif"/>
          <w:color w:val="000000"/>
          <w:sz w:val="24"/>
        </w:rPr>
      </w:pPr>
      <w:r>
        <w:rPr>
          <w:rFonts w:ascii="sans-serif" w:hAnsi="sans-serif"/>
          <w:color w:val="000000"/>
          <w:sz w:val="24"/>
        </w:rPr>
        <w:t>matt.lowell@teknova.com</w:t>
      </w:r>
    </w:p>
    <w:p>
      <w:pPr>
        <w:pStyle w:val="TextBody"/>
        <w:bidi w:val="0"/>
        <w:jc w:val="left"/>
        <w:rPr>
          <w:rFonts w:ascii="sans-serif" w:hAnsi="sans-serif"/>
          <w:color w:val="000000"/>
          <w:sz w:val="24"/>
        </w:rPr>
      </w:pPr>
      <w:r>
        <w:rPr>
          <w:rFonts w:ascii="sans-serif" w:hAnsi="sans-serif"/>
          <w:color w:val="000000"/>
          <w:sz w:val="24"/>
        </w:rPr>
        <w:t>+1 831-637-1100</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Media Contact</w:t>
      </w:r>
    </w:p>
    <w:p>
      <w:pPr>
        <w:pStyle w:val="TextBody"/>
        <w:bidi w:val="0"/>
        <w:jc w:val="left"/>
        <w:rPr>
          <w:rFonts w:ascii="sans-serif" w:hAnsi="sans-serif"/>
          <w:color w:val="000000"/>
          <w:sz w:val="24"/>
        </w:rPr>
      </w:pPr>
      <w:r>
        <w:rPr>
          <w:rFonts w:ascii="sans-serif" w:hAnsi="sans-serif"/>
          <w:color w:val="000000"/>
          <w:sz w:val="24"/>
        </w:rPr>
        <w:t>Jennifer Henry</w:t>
      </w:r>
    </w:p>
    <w:p>
      <w:pPr>
        <w:pStyle w:val="TextBody"/>
        <w:bidi w:val="0"/>
        <w:jc w:val="left"/>
        <w:rPr>
          <w:rFonts w:ascii="sans-serif" w:hAnsi="sans-serif"/>
          <w:color w:val="000000"/>
          <w:sz w:val="24"/>
        </w:rPr>
      </w:pPr>
      <w:r>
        <w:rPr>
          <w:rFonts w:ascii="sans-serif" w:hAnsi="sans-serif"/>
          <w:color w:val="000000"/>
          <w:sz w:val="24"/>
        </w:rPr>
        <w:t>Senior Vice President, Marketing</w:t>
      </w:r>
    </w:p>
    <w:p>
      <w:pPr>
        <w:pStyle w:val="TextBody"/>
        <w:bidi w:val="0"/>
        <w:jc w:val="left"/>
        <w:rPr>
          <w:rFonts w:ascii="sans-serif" w:hAnsi="sans-serif"/>
          <w:color w:val="000000"/>
          <w:sz w:val="24"/>
        </w:rPr>
      </w:pPr>
      <w:r>
        <w:rPr>
          <w:rFonts w:ascii="sans-serif" w:hAnsi="sans-serif"/>
          <w:color w:val="000000"/>
          <w:sz w:val="24"/>
        </w:rPr>
        <w:t>jenn.henry@teknova.com</w:t>
      </w:r>
    </w:p>
    <w:p>
      <w:pPr>
        <w:pStyle w:val="TextBody"/>
        <w:bidi w:val="0"/>
        <w:jc w:val="left"/>
        <w:rPr>
          <w:rFonts w:ascii="sans-serif" w:hAnsi="sans-serif"/>
          <w:color w:val="000000"/>
          <w:sz w:val="24"/>
        </w:rPr>
      </w:pPr>
      <w:r>
        <w:rPr>
          <w:rFonts w:ascii="sans-serif" w:hAnsi="sans-serif"/>
          <w:color w:val="000000"/>
          <w:sz w:val="24"/>
        </w:rPr>
        <w:t>+1 831-313-1259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4"/>
        </w:rPr>
      </w:pPr>
      <w:r>
        <w:rPr>
          <w:rFonts w:ascii="sans-serif" w:hAnsi="sans-serif"/>
          <w:b/>
          <w:color w:val="000000"/>
          <w:sz w:val="24"/>
        </w:rPr>
        <w:t>ALPHA TEKNOVA, INC.</w:t>
      </w:r>
    </w:p>
    <w:p>
      <w:pPr>
        <w:pStyle w:val="TextBody"/>
        <w:bidi w:val="0"/>
        <w:jc w:val="center"/>
        <w:rPr>
          <w:rFonts w:ascii="sans-serif" w:hAnsi="sans-serif"/>
          <w:b/>
          <w:color w:val="000000"/>
          <w:sz w:val="24"/>
        </w:rPr>
      </w:pPr>
      <w:r>
        <w:rPr>
          <w:rFonts w:ascii="sans-serif" w:hAnsi="sans-serif"/>
          <w:b/>
          <w:color w:val="000000"/>
          <w:sz w:val="24"/>
        </w:rPr>
        <w:t>Condensed Statements of Operations</w:t>
      </w:r>
    </w:p>
    <w:p>
      <w:pPr>
        <w:pStyle w:val="TextBody"/>
        <w:bidi w:val="0"/>
        <w:jc w:val="center"/>
        <w:rPr>
          <w:rFonts w:ascii="sans-serif" w:hAnsi="sans-serif"/>
          <w:b/>
          <w:color w:val="000000"/>
          <w:sz w:val="24"/>
        </w:rPr>
      </w:pPr>
      <w:r>
        <w:rPr>
          <w:rFonts w:ascii="sans-serif" w:hAnsi="sans-serif"/>
          <w:b/>
          <w:color w:val="000000"/>
          <w:sz w:val="24"/>
        </w:rPr>
        <w:t>(Unaudited)</w:t>
      </w:r>
    </w:p>
    <w:p>
      <w:pPr>
        <w:pStyle w:val="TextBody"/>
        <w:bidi w:val="0"/>
        <w:jc w:val="center"/>
        <w:rPr>
          <w:rFonts w:ascii="sans-serif" w:hAnsi="sans-serif"/>
          <w:b/>
          <w:color w:val="000000"/>
          <w:sz w:val="24"/>
        </w:rPr>
      </w:pPr>
      <w:r>
        <w:rPr>
          <w:rFonts w:ascii="sans-serif" w:hAnsi="sans-serif"/>
          <w:b/>
          <w:color w:val="000000"/>
          <w:sz w:val="24"/>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62"/>
        <w:gridCol w:w="146"/>
        <w:gridCol w:w="211"/>
        <w:gridCol w:w="1036"/>
        <w:gridCol w:w="166"/>
        <w:gridCol w:w="146"/>
        <w:gridCol w:w="211"/>
        <w:gridCol w:w="1036"/>
        <w:gridCol w:w="591"/>
      </w:tblGrid>
      <w:tr>
        <w:trPr/>
        <w:tc>
          <w:tcPr>
            <w:tcW w:w="6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Ended </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adjustment to loan exit fee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in computing net loss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53,606,278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53,421,533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4"/>
        </w:rPr>
      </w:pPr>
      <w:r>
        <w:rPr>
          <w:rFonts w:ascii="sans-serif" w:hAnsi="sans-serif"/>
          <w:b/>
          <w:color w:val="000000"/>
          <w:sz w:val="24"/>
        </w:rPr>
        <w:t>ALPHA TEKNOVA, INC.</w:t>
      </w:r>
    </w:p>
    <w:p>
      <w:pPr>
        <w:pStyle w:val="TextBody"/>
        <w:bidi w:val="0"/>
        <w:jc w:val="center"/>
        <w:rPr>
          <w:rFonts w:ascii="sans-serif" w:hAnsi="sans-serif"/>
          <w:b/>
          <w:color w:val="000000"/>
          <w:sz w:val="24"/>
        </w:rPr>
      </w:pPr>
      <w:r>
        <w:rPr>
          <w:rFonts w:ascii="sans-serif" w:hAnsi="sans-serif"/>
          <w:b/>
          <w:color w:val="000000"/>
          <w:sz w:val="24"/>
        </w:rPr>
        <w:t>Condensed Balance Sheets</w:t>
      </w:r>
    </w:p>
    <w:p>
      <w:pPr>
        <w:pStyle w:val="TextBody"/>
        <w:bidi w:val="0"/>
        <w:jc w:val="center"/>
        <w:rPr>
          <w:rFonts w:ascii="sans-serif" w:hAnsi="sans-serif"/>
          <w:b/>
          <w:color w:val="000000"/>
          <w:sz w:val="24"/>
        </w:rPr>
      </w:pPr>
      <w:r>
        <w:rPr>
          <w:rFonts w:ascii="sans-serif" w:hAnsi="sans-serif"/>
          <w:b/>
          <w:color w:val="000000"/>
          <w:sz w:val="24"/>
        </w:rPr>
        <w:t>(Unaudited)</w:t>
      </w:r>
    </w:p>
    <w:p>
      <w:pPr>
        <w:pStyle w:val="TextBody"/>
        <w:bidi w:val="0"/>
        <w:jc w:val="center"/>
        <w:rPr>
          <w:rFonts w:ascii="sans-serif" w:hAnsi="sans-serif"/>
          <w:b/>
          <w:color w:val="000000"/>
          <w:sz w:val="24"/>
        </w:rPr>
      </w:pPr>
      <w:r>
        <w:rPr>
          <w:rFonts w:ascii="sans-serif" w:hAnsi="sans-serif"/>
          <w:b/>
          <w:color w:val="000000"/>
          <w:sz w:val="24"/>
        </w:rPr>
        <w:t>(In thousands)</w:t>
      </w:r>
    </w:p>
    <w:p>
      <w:pPr>
        <w:pStyle w:val="TextBody"/>
        <w:bidi w:val="0"/>
        <w:jc w:val="center"/>
        <w:rPr/>
      </w:pPr>
      <w:r>
        <w:rPr/>
        <w:t> </w:t>
      </w:r>
    </w:p>
    <w:tbl>
      <w:tblPr>
        <w:tblW w:w="7955" w:type="dxa"/>
        <w:jc w:val="left"/>
        <w:tblInd w:w="0" w:type="dxa"/>
        <w:tblLayout w:type="fixed"/>
        <w:tblCellMar>
          <w:top w:w="28" w:type="dxa"/>
          <w:left w:w="28" w:type="dxa"/>
          <w:bottom w:w="28" w:type="dxa"/>
          <w:right w:w="28" w:type="dxa"/>
        </w:tblCellMar>
      </w:tblPr>
      <w:tblGrid>
        <w:gridCol w:w="4096"/>
        <w:gridCol w:w="146"/>
        <w:gridCol w:w="264"/>
        <w:gridCol w:w="1011"/>
        <w:gridCol w:w="166"/>
        <w:gridCol w:w="146"/>
        <w:gridCol w:w="313"/>
        <w:gridCol w:w="1202"/>
        <w:gridCol w:w="61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investments, held -to-maturity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34,511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41,733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right-of-use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14,112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11,943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103,584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13,270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204,564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(135,790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68,775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103,584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4"/>
        </w:rPr>
      </w:pPr>
      <w:r>
        <w:rPr>
          <w:rFonts w:ascii="sans-serif" w:hAnsi="sans-serif"/>
          <w:b/>
          <w:color w:val="000000"/>
          <w:sz w:val="24"/>
        </w:rPr>
        <w:t>ALPHA TEKNOVA, INC.</w:t>
      </w:r>
    </w:p>
    <w:p>
      <w:pPr>
        <w:pStyle w:val="TextBody"/>
        <w:bidi w:val="0"/>
        <w:jc w:val="center"/>
        <w:rPr>
          <w:rFonts w:ascii="Times New Roman" w:hAnsi="Times New Roman"/>
          <w:sz w:val="20"/>
        </w:rPr>
      </w:pPr>
      <w:r>
        <w:rPr>
          <w:rFonts w:ascii="sans-serif" w:hAnsi="sans-serif"/>
          <w:b/>
          <w:color w:val="000000"/>
          <w:sz w:val="24"/>
        </w:rPr>
        <w:t>Condensed Statements of Cash Flows</w:t>
      </w:r>
      <w:r>
        <w:rPr>
          <w:rFonts w:ascii="Times New Roman" w:hAnsi="Times New Roman"/>
          <w:color w:val="000000"/>
          <w:sz w:val="20"/>
        </w:rPr>
        <w:t xml:space="preserve"> </w:t>
      </w:r>
    </w:p>
    <w:p>
      <w:pPr>
        <w:pStyle w:val="TextBody"/>
        <w:bidi w:val="0"/>
        <w:jc w:val="center"/>
        <w:rPr>
          <w:rFonts w:ascii="sans-serif" w:hAnsi="sans-serif"/>
          <w:b/>
          <w:color w:val="000000"/>
          <w:sz w:val="24"/>
        </w:rPr>
      </w:pPr>
      <w:r>
        <w:rPr>
          <w:rFonts w:ascii="sans-serif" w:hAnsi="sans-serif"/>
          <w:b/>
          <w:color w:val="000000"/>
          <w:sz w:val="24"/>
        </w:rPr>
        <w:t>(Unaudited)</w:t>
      </w:r>
    </w:p>
    <w:p>
      <w:pPr>
        <w:pStyle w:val="TextBody"/>
        <w:bidi w:val="0"/>
        <w:jc w:val="center"/>
        <w:rPr>
          <w:rFonts w:ascii="sans-serif" w:hAnsi="sans-serif"/>
          <w:b/>
          <w:color w:val="000000"/>
          <w:sz w:val="24"/>
        </w:rPr>
      </w:pPr>
      <w:r>
        <w:rPr>
          <w:rFonts w:ascii="sans-serif" w:hAnsi="sans-serif"/>
          <w:b/>
          <w:color w:val="000000"/>
          <w:sz w:val="24"/>
        </w:rPr>
        <w:t>(In thousands)</w:t>
      </w:r>
    </w:p>
    <w:p>
      <w:pPr>
        <w:pStyle w:val="TextBody"/>
        <w:bidi w:val="0"/>
        <w:jc w:val="center"/>
        <w:rPr/>
      </w:pPr>
      <w:r>
        <w:rPr/>
        <w:t> </w:t>
      </w:r>
    </w:p>
    <w:tbl>
      <w:tblPr>
        <w:tblW w:w="8024" w:type="dxa"/>
        <w:jc w:val="left"/>
        <w:tblInd w:w="0" w:type="dxa"/>
        <w:tblLayout w:type="fixed"/>
        <w:tblCellMar>
          <w:top w:w="28" w:type="dxa"/>
          <w:left w:w="28" w:type="dxa"/>
          <w:bottom w:w="28" w:type="dxa"/>
          <w:right w:w="28" w:type="dxa"/>
        </w:tblCellMar>
      </w:tblPr>
      <w:tblGrid>
        <w:gridCol w:w="5221"/>
        <w:gridCol w:w="146"/>
        <w:gridCol w:w="196"/>
        <w:gridCol w:w="571"/>
        <w:gridCol w:w="166"/>
        <w:gridCol w:w="146"/>
        <w:gridCol w:w="196"/>
        <w:gridCol w:w="571"/>
        <w:gridCol w:w="8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For the Three Months Ended </w:t>
              <w:br/>
              <w:t>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Bad debt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interest income on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discount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adjustment to loan exit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Maturities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exit fee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financed insurance premiums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3,377</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sans-serif" w:hAnsi="sans-serif"/>
          <w:b/>
          <w:color w:val="000000"/>
          <w:sz w:val="24"/>
        </w:rPr>
      </w:pPr>
      <w:r>
        <w:rPr>
          <w:rFonts w:ascii="sans-serif" w:hAnsi="sans-serif"/>
          <w:b/>
          <w:color w:val="000000"/>
          <w:sz w:val="24"/>
        </w:rPr>
        <w:t>ALPHA TEKNOVA, INC.</w:t>
      </w:r>
    </w:p>
    <w:p>
      <w:pPr>
        <w:pStyle w:val="TextBody"/>
        <w:bidi w:val="0"/>
        <w:jc w:val="center"/>
        <w:rPr>
          <w:rFonts w:ascii="sans-serif" w:hAnsi="sans-serif"/>
          <w:b/>
          <w:color w:val="000000"/>
          <w:sz w:val="24"/>
        </w:rPr>
      </w:pPr>
      <w:r>
        <w:rPr>
          <w:rFonts w:ascii="sans-serif" w:hAnsi="sans-serif"/>
          <w:b/>
          <w:color w:val="000000"/>
          <w:sz w:val="24"/>
        </w:rPr>
        <w:t>Reconciliation of Non-GAAP Measures to the Most Comparable GAAP Measures</w:t>
      </w:r>
    </w:p>
    <w:p>
      <w:pPr>
        <w:pStyle w:val="TextBody"/>
        <w:bidi w:val="0"/>
        <w:jc w:val="center"/>
        <w:rPr>
          <w:rFonts w:ascii="sans-serif" w:hAnsi="sans-serif"/>
          <w:b/>
          <w:color w:val="000000"/>
          <w:sz w:val="24"/>
        </w:rPr>
      </w:pPr>
      <w:r>
        <w:rPr>
          <w:rFonts w:ascii="sans-serif" w:hAnsi="sans-serif"/>
          <w:b/>
          <w:color w:val="000000"/>
          <w:sz w:val="24"/>
        </w:rPr>
        <w:t>(Unaudited)</w:t>
      </w:r>
    </w:p>
    <w:p>
      <w:pPr>
        <w:pStyle w:val="TextBody"/>
        <w:bidi w:val="0"/>
        <w:jc w:val="center"/>
        <w:rPr>
          <w:rFonts w:ascii="sans-serif" w:hAnsi="sans-serif"/>
          <w:b/>
          <w:color w:val="000000"/>
          <w:sz w:val="24"/>
        </w:rPr>
      </w:pPr>
      <w:r>
        <w:rPr>
          <w:rFonts w:ascii="sans-serif" w:hAnsi="sans-serif"/>
          <w:b/>
          <w:color w:val="000000"/>
          <w:sz w:val="24"/>
        </w:rPr>
        <w:t>(In thousands)</w:t>
      </w:r>
    </w:p>
    <w:p>
      <w:pPr>
        <w:pStyle w:val="TextBody"/>
        <w:bidi w:val="0"/>
        <w:jc w:val="center"/>
        <w:rPr/>
      </w:pPr>
      <w:r>
        <w:rPr/>
        <w:t> </w:t>
      </w:r>
    </w:p>
    <w:tbl>
      <w:tblPr>
        <w:tblW w:w="5990" w:type="dxa"/>
        <w:jc w:val="left"/>
        <w:tblInd w:w="0" w:type="dxa"/>
        <w:tblLayout w:type="fixed"/>
        <w:tblCellMar>
          <w:top w:w="28" w:type="dxa"/>
          <w:left w:w="28" w:type="dxa"/>
          <w:bottom w:w="28" w:type="dxa"/>
          <w:right w:w="28" w:type="dxa"/>
        </w:tblCellMar>
      </w:tblPr>
      <w:tblGrid>
        <w:gridCol w:w="3201"/>
        <w:gridCol w:w="146"/>
        <w:gridCol w:w="236"/>
        <w:gridCol w:w="706"/>
        <w:gridCol w:w="185"/>
        <w:gridCol w:w="163"/>
        <w:gridCol w:w="236"/>
        <w:gridCol w:w="706"/>
        <w:gridCol w:w="41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Ended </w:t>
              <w:b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 as reported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back: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(2,713</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and non-recurring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adjustment to loan exit fee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(2,018</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center"/>
        <w:rPr/>
      </w:pPr>
      <w:r>
        <w:rPr/>
        <w:t> </w:t>
      </w:r>
    </w:p>
    <w:tbl>
      <w:tblPr>
        <w:tblW w:w="6265" w:type="dxa"/>
        <w:jc w:val="left"/>
        <w:tblInd w:w="0" w:type="dxa"/>
        <w:tblLayout w:type="fixed"/>
        <w:tblCellMar>
          <w:top w:w="28" w:type="dxa"/>
          <w:left w:w="28" w:type="dxa"/>
          <w:bottom w:w="28" w:type="dxa"/>
          <w:right w:w="28" w:type="dxa"/>
        </w:tblCellMar>
      </w:tblPr>
      <w:tblGrid>
        <w:gridCol w:w="3676"/>
        <w:gridCol w:w="146"/>
        <w:gridCol w:w="236"/>
        <w:gridCol w:w="706"/>
        <w:gridCol w:w="185"/>
        <w:gridCol w:w="163"/>
        <w:gridCol w:w="236"/>
        <w:gridCol w:w="706"/>
        <w:gridCol w:w="2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Three Months Ended </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(3,580</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2964</Words>
  <Characters>16586</Characters>
  <CharactersWithSpaces>19728</CharactersWithSpaces>
  <Paragraphs>1179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