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kno-20260805.htm"/>
      <w:bookmarkStart w:id="1" w:name="kstkno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Alpha Teknova,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94-3368109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2451 Bert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Hollister,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831</w:t>
            </w:r>
            <w:r>
              <w:rPr>
                <w:rFonts w:ascii="Times New Roman" w:hAnsi="Times New Roman"/>
                <w:color w:val="000000"/>
                <w:sz w:val="20"/>
              </w:rPr>
              <w:t xml:space="preserve"> </w:t>
            </w:r>
            <w:r>
              <w:rPr>
                <w:rFonts w:ascii="Times New Roman" w:hAnsi="Times New Roman"/>
                <w:b/>
                <w:color w:val="000000"/>
                <w:sz w:val="20"/>
              </w:rPr>
              <w:t>637-1100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TKNO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Alpha Teknova, Inc. (the “Company”) issued a press release announcing its financial results for the second quarter ended June 30, 2026 (the “Press Release”). A copy of the Press Release is attached hereto as Exhibit 99.1 and is incorporated herein by reference. The information in this Item 2.02, including the Press Release, is intended to be furnished under Item 2.02 and Item 9.01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 Exhibits.</w:t>
      </w:r>
    </w:p>
    <w:tbl>
      <w:tblPr>
        <w:tblW w:w="7791" w:type="dxa"/>
        <w:jc w:val="left"/>
        <w:tblInd w:w="0" w:type="dxa"/>
        <w:tblLayout w:type="fixed"/>
        <w:tblCellMar>
          <w:top w:w="28" w:type="dxa"/>
          <w:left w:w="28" w:type="dxa"/>
          <w:bottom w:w="28" w:type="dxa"/>
          <w:right w:w="28" w:type="dxa"/>
        </w:tblCellMar>
      </w:tblPr>
      <w:tblGrid>
        <w:gridCol w:w="1081"/>
        <w:gridCol w:w="109"/>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kno-ex99_1.htm">
              <w:r>
                <w:rPr>
                  <w:rStyle w:val="InternetLink"/>
                  <w:rFonts w:ascii="Times New Roman" w:hAnsi="Times New Roman"/>
                  <w:color w:val="0000FF"/>
                  <w:sz w:val="20"/>
                  <w:u w:val="single"/>
                </w:rPr>
                <w:t>Press Release issued by Alpha Teknova, Inc., dated August 5,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69" w:type="dxa"/>
        <w:jc w:val="left"/>
        <w:tblInd w:w="0" w:type="dxa"/>
        <w:tblLayout w:type="fixed"/>
        <w:tblCellMar>
          <w:top w:w="28" w:type="dxa"/>
          <w:left w:w="28" w:type="dxa"/>
          <w:bottom w:w="28" w:type="dxa"/>
          <w:right w:w="28" w:type="dxa"/>
        </w:tblCellMar>
      </w:tblPr>
      <w:tblGrid>
        <w:gridCol w:w="556"/>
        <w:gridCol w:w="135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ALPHA TEKNOVA,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Gunstream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Stephen Gunstream</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tkno-ex99_1.htm"/>
      <w:bookmarkStart w:id="3" w:name="kstknoex99_1"/>
      <w:bookmarkEnd w:id="2"/>
      <w:bookmarkEnd w:id="3"/>
      <w:r>
        <w:rPr>
          <w:rFonts w:ascii="sans-serif" w:hAnsi="sans-serif"/>
          <w:b/>
          <w:color w:val="000000"/>
          <w:sz w:val="24"/>
        </w:rPr>
        <w:t>Exhibit 99.1</w:t>
      </w:r>
      <w:r>
        <w:br w:type="page"/>
      </w:r>
    </w:p>
    <w:p>
      <w:pPr>
        <w:pStyle w:val="TextBody"/>
        <w:bidi w:val="0"/>
        <w:jc w:val="right"/>
        <w:rPr/>
      </w:pPr>
      <w:r>
        <w:rPr/>
        <w:t> </w:t>
      </w:r>
    </w:p>
    <w:p>
      <w:pPr>
        <w:pStyle w:val="TextBody"/>
        <w:bidi w:val="0"/>
        <w:jc w:val="center"/>
        <w:rPr/>
      </w:pPr>
      <w:r>
        <w:rPr/>
        <w:drawing>
          <wp:inline distT="0" distB="0" distL="0" distR="0">
            <wp:extent cx="18002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352425"/>
                    </a:xfrm>
                    <a:prstGeom prst="rect">
                      <a:avLst/>
                    </a:prstGeom>
                  </pic:spPr>
                </pic:pic>
              </a:graphicData>
            </a:graphic>
          </wp:inline>
        </w:drawing>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Teknova Reports Second Quarter 2026 Financial Results</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Second quarter 2026 total revenue was $12.2 million, up 18% over the same quarter prior year</w:t>
      </w:r>
    </w:p>
    <w:p>
      <w:pPr>
        <w:pStyle w:val="TextBody"/>
        <w:bidi w:val="0"/>
        <w:jc w:val="center"/>
        <w:rPr>
          <w:rFonts w:ascii="sans-serif" w:hAnsi="sans-serif"/>
          <w:i/>
          <w:color w:val="000000"/>
          <w:sz w:val="24"/>
        </w:rPr>
      </w:pPr>
      <w:r>
        <w:rPr>
          <w:rFonts w:ascii="sans-serif" w:hAnsi="sans-serif"/>
          <w:i/>
          <w:color w:val="000000"/>
          <w:sz w:val="24"/>
        </w:rPr>
        <w:t>Company raises 2026 revenue guidance to $45-47 million</w:t>
      </w:r>
    </w:p>
    <w:p>
      <w:pPr>
        <w:pStyle w:val="TextBody"/>
        <w:bidi w:val="0"/>
        <w:jc w:val="center"/>
        <w:rPr>
          <w:rFonts w:ascii="Times New Roman" w:hAnsi="Times New Roman"/>
          <w:sz w:val="20"/>
        </w:rPr>
      </w:pPr>
      <w:r>
        <w:rPr>
          <w:rFonts w:ascii="sans-serif" w:hAnsi="sans-serif"/>
          <w:i/>
          <w:color w:val="000000"/>
          <w:sz w:val="24"/>
        </w:rPr>
        <w:t>Launched proprietary AI-powered Build-Tek</w:t>
      </w:r>
      <w:r>
        <w:rPr>
          <w:rFonts w:ascii="sans-serif" w:hAnsi="sans-serif"/>
          <w:i/>
          <w:color w:val="000000"/>
          <w:sz w:val="16"/>
        </w:rPr>
        <w:t>TM</w:t>
      </w:r>
      <w:r>
        <w:rPr>
          <w:rFonts w:ascii="Times New Roman" w:hAnsi="Times New Roman"/>
          <w:color w:val="000000"/>
          <w:sz w:val="20"/>
        </w:rPr>
        <w:t xml:space="preserve"> </w:t>
      </w:r>
      <w:r>
        <w:rPr>
          <w:rFonts w:ascii="sans-serif" w:hAnsi="sans-serif"/>
          <w:i/>
          <w:color w:val="000000"/>
          <w:sz w:val="24"/>
        </w:rPr>
        <w:t>custom order configurator, giving developers a faster path from preclinical to clinical manufacturing</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HOLLISTER, Calif., August 5, 2026</w:t>
      </w:r>
      <w:r>
        <w:rPr>
          <w:rFonts w:ascii="Times New Roman" w:hAnsi="Times New Roman"/>
          <w:color w:val="000000"/>
          <w:sz w:val="20"/>
        </w:rPr>
        <w:t xml:space="preserve"> – </w:t>
      </w:r>
      <w:r>
        <w:rPr>
          <w:rFonts w:ascii="sans-serif" w:hAnsi="sans-serif"/>
          <w:color w:val="000000"/>
          <w:sz w:val="24"/>
        </w:rPr>
        <w:t>Alpha Teknova, Inc. (“Teknova” or the “Company”) (Nasdaq: TKNO), a leading producer of critical reagents for the discovery, development, and commercialization of novel therapies, vaccines, and molecular diagnostics, today announced financial results for the second quarter ended June 30, 2026.</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"We delivered more than $12 million in quarterly revenue for the first time in Teknova's history, with growth across nearly all of the end markets we serve," said Stephen Gunstream, President and Chief Executive Officer at Teknova. "These results demonstrate the impact of the investments we've made in our commercial organization, state-of-the-art facilities, and manufacturing systems, and strengthen our confidence in our ability to deliver long-term, sustainable growth as the biotech market continues to recover."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Matt Lowell, Teknova’s Chief Financial Officer, added, “We delivered excellent financial results in the second quarter 2026 compared to 2025, including 18% revenue growth and a significant improvement in Free Cash Outflow. We are therefore raising our 2026 revenue guidance to $45-47 million and adjusting down our expectations for full-year Free Cash Outflow to less than $8 million,” he explained.</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Corporate and Financial Updates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Second quarter 2026 total revenue of $12.2 million, up 18% compared to $10.3 million for the second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Total cash and short-term investments were $17.4 million and total borrowings were $13.2 million at the end of the second quarter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Following a second quarter beta release, the Company launched Build-Tek, the AI-powered evolution of its proprietary custom configurator first introduced in 2024, now enabling therapeutic and diagnostic developers to build complex custom products in just minutes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Revenue for the Second Quarter 2026</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1711"/>
        <w:gridCol w:w="146"/>
        <w:gridCol w:w="291"/>
        <w:gridCol w:w="932"/>
        <w:gridCol w:w="201"/>
        <w:gridCol w:w="201"/>
        <w:gridCol w:w="291"/>
        <w:gridCol w:w="932"/>
        <w:gridCol w:w="146"/>
        <w:gridCol w:w="146"/>
        <w:gridCol w:w="271"/>
        <w:gridCol w:w="869"/>
        <w:gridCol w:w="187"/>
        <w:gridCol w:w="187"/>
        <w:gridCol w:w="271"/>
        <w:gridCol w:w="869"/>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17,579</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Second 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Total revenue for the second quarter 2026 was $12.2 million, up 18% compared to $10.3 million in the second quarter 2025. Lab Essentials revenue was $9.2 million in the second quarter 2026, up 18% compared to $7.8 million in the second quarter 2025. Clinical Solutions revenue was $2.4 million in the second quarter 2026, up 18% compared to $2.1 million in the second quarter 2025.</w:t>
      </w:r>
      <w:r>
        <w:rPr>
          <w:rFonts w:ascii="Times New Roman" w:hAnsi="Times New Roman"/>
          <w:color w:val="000000"/>
          <w:sz w:val="20"/>
        </w:rPr>
        <w:t xml:space="preserve"> </w:t>
      </w:r>
    </w:p>
    <w:p>
      <w:pPr>
        <w:pStyle w:val="TextBody"/>
        <w:bidi w:val="0"/>
        <w:spacing w:before="200" w:after="283"/>
        <w:jc w:val="left"/>
        <w:rPr>
          <w:rFonts w:ascii="sans-serif" w:hAnsi="sans-serif"/>
          <w:color w:val="000000"/>
          <w:sz w:val="24"/>
        </w:rPr>
      </w:pPr>
      <w:r>
        <w:rPr>
          <w:rFonts w:ascii="sans-serif" w:hAnsi="sans-serif"/>
          <w:color w:val="000000"/>
          <w:sz w:val="24"/>
        </w:rPr>
        <w:t>Gross profit for the second quarter 2026 was $4.9 million, compared to $4.0 million in the second quarter 2025. Gross margin for the second quarter 2026 was 40.1%, compared to 38.7% in the second quarter 2025. The increase in gross margin was primarily driven by higher revenue, partially offset by higher fixed cost absorption into cost of goods sold from faster finished goods inventory turns. This compares to the same period in the prior year that had benefited from unusually favorable manufacturing efficiency gains.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Operating expenses for the second quarter 2026 were $7.8 million, compared to $7.4 million in the second quarter 2025. The increase was primarily driven by higher spending in sales and marketing, a result of higher headcount and increased marketing expenses, partially offset by lower general and administrative expenses attributable to lower stock-based compensation expense.</w:t>
      </w:r>
    </w:p>
    <w:p>
      <w:pPr>
        <w:pStyle w:val="TextBody"/>
        <w:bidi w:val="0"/>
        <w:jc w:val="left"/>
        <w:rPr>
          <w:rFonts w:ascii="Times New Roman" w:hAnsi="Times New Roman"/>
          <w:sz w:val="20"/>
        </w:rPr>
      </w:pPr>
      <w:r>
        <w:rPr>
          <w:rFonts w:ascii="sans-serif" w:hAnsi="sans-serif"/>
          <w:color w:val="000000"/>
          <w:sz w:val="24"/>
        </w:rPr>
        <w:t>Net loss for the second quarter 2026 was $3.2 million, or negative $0.06 per diluted share, compared to $3.6 million, or negative $0.07 per diluted share, for the second quarter 2025. Adjusted EBITDA for the second quarter 2026 was negative $0.7 million, compared to negative $0.8 million for the second quarter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Cash used in operating activities for the second quarter 2026 was $0.5 million, compared to $2.1 million of cash used in operating activities for the second quarter 2025. Free Cash Outflow was $0.6 million for the second quarter 2026, compared to $2.3 million for the second quarter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 full reconciliation of these non-GAAP measures to the most comparable GAAP measures is included at the end of this release.</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Improves 2026 Outlook</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Teknova raises its fiscal 2026 outlook for revenue and improves its outlook for Free Cash Outflow. The Company now anticipates total revenue of $45 million to $47 million for the fiscal year ending December 31, 2026 (“2026”). The Company also now expects Free Cash Outflow of less than $8 million for 2026.</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Upcoming Investor Conference Attendance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Sidoti Microcap Conference (Virtual)</w:t>
      </w:r>
    </w:p>
    <w:p>
      <w:pPr>
        <w:pStyle w:val="TextBody"/>
        <w:bidi w:val="0"/>
        <w:jc w:val="left"/>
        <w:rPr>
          <w:rFonts w:ascii="sans-serif" w:hAnsi="sans-serif"/>
          <w:color w:val="000000"/>
          <w:sz w:val="24"/>
        </w:rPr>
      </w:pPr>
      <w:r>
        <w:rPr>
          <w:rFonts w:ascii="sans-serif" w:hAnsi="sans-serif"/>
          <w:color w:val="000000"/>
          <w:sz w:val="24"/>
        </w:rPr>
        <w:t>August 19-20, 2026</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ROTH Healthcare Opportunities Conference (New York, NY)</w:t>
      </w:r>
    </w:p>
    <w:p>
      <w:pPr>
        <w:pStyle w:val="TextBody"/>
        <w:bidi w:val="0"/>
        <w:jc w:val="left"/>
        <w:rPr>
          <w:rFonts w:ascii="sans-serif" w:hAnsi="sans-serif"/>
          <w:color w:val="000000"/>
          <w:sz w:val="24"/>
        </w:rPr>
      </w:pPr>
      <w:r>
        <w:rPr>
          <w:rFonts w:ascii="sans-serif" w:hAnsi="sans-serif"/>
          <w:color w:val="000000"/>
          <w:sz w:val="24"/>
        </w:rPr>
        <w:t>September 29, 2026</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Conference Call and Webcast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Teknova will host a webcast and conference call on Wednesday, August 5, 2026, beginning at 6:00 p.m. Eastern Time. To access the live webcast, listeners can log onto the call from the </w:t>
      </w:r>
      <w:r>
        <w:rPr>
          <w:rFonts w:ascii="sans-serif" w:hAnsi="sans-serif"/>
          <w:sz w:val="24"/>
        </w:rPr>
        <w:t>Investor Relations</w:t>
      </w:r>
      <w:r>
        <w:rPr>
          <w:rFonts w:ascii="Times New Roman" w:hAnsi="Times New Roman"/>
          <w:color w:val="000000"/>
          <w:sz w:val="20"/>
        </w:rPr>
        <w:t xml:space="preserve"> </w:t>
      </w:r>
      <w:r>
        <w:rPr>
          <w:rFonts w:ascii="sans-serif" w:hAnsi="sans-serif"/>
          <w:color w:val="000000"/>
          <w:sz w:val="24"/>
        </w:rPr>
        <w:t>section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4"/>
        </w:rPr>
        <w:t xml:space="preserve">the Teknova website or by using this </w:t>
      </w:r>
      <w:r>
        <w:rPr>
          <w:rFonts w:ascii="sans-serif" w:hAnsi="sans-serif"/>
          <w:sz w:val="24"/>
        </w:rPr>
        <w:t>link</w:t>
      </w:r>
      <w:r>
        <w:rPr>
          <w:rFonts w:ascii="sans-serif" w:hAnsi="sans-serif"/>
          <w:color w:val="000000"/>
          <w:sz w:val="24"/>
        </w:rPr>
        <w:t xml:space="preserve">. If you would like to participate in the call, please register for the webcast </w:t>
      </w:r>
      <w:r>
        <w:rPr>
          <w:rFonts w:ascii="sans-serif" w:hAnsi="sans-serif"/>
          <w:sz w:val="24"/>
        </w:rPr>
        <w:t>here</w:t>
      </w:r>
      <w:r>
        <w:rPr>
          <w:rFonts w:ascii="Times New Roman" w:hAnsi="Times New Roman"/>
          <w:color w:val="000000"/>
          <w:sz w:val="20"/>
        </w:rPr>
        <w:t xml:space="preserve"> </w:t>
      </w:r>
      <w:r>
        <w:rPr>
          <w:rFonts w:ascii="sans-serif" w:hAnsi="sans-serif"/>
          <w:color w:val="000000"/>
          <w:sz w:val="24"/>
        </w:rPr>
        <w:t>to receive a unique PIN number and dial-in information. The webcast will be available for replay on the Company’s website approximately two hours after the event.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Teknova</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Teknova makes solutions possible. Since 1996, Teknova has been innovating the manufacture of critical reagents for the life sciences industry to accelerate the discovery and development of novel breakthroughs that will help people live longer, healthier lives. We offer fully customizable solutions for every stage of the workflow, supporting industry leaders in genomics, molecular diagnostics, and emerging therapeutic modalities. Our fast turnaround of high-quality agar plates, microbial culture and cryopreservation media, buffers and reagents, and water helps our customers scale seamlessly from RUO to GMP. Headquartered in Hollister, California, with over 180,000 square feet of state-of-the-art facilities, Teknova’s modular manufacturing platform was designed by our team of scientists, engineers, and quality control experts to efficiently produce the foundational ingredients for the discovery and commercialization of next-generation therapies.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This press release contains financial measures that have not been calculated in accordance with U.S. generally accepted accounting principles (GAAP). Teknova uses the following non-GAAP financial measures in assessing the performance of its business and the effectiveness of its business strategies: (a) Adjusted EBITDA and (b) Free Cash Flow (Outflow).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Teknova defines Adjusted EBITDA as net income (loss) adjusted for interest income (expense), net, provision for (benefit from) income taxes, depreciation expense, amortization of intangible assets, and stock-based compensation expense. Adjusted EBITDA reflects further adjustments to eliminate the impact of certain items, including certain non-cash and other items that Teknova does not consider representative of its ongoing operating performance.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Teknova defines Free Cash Flow (Outflow) as cash provided by (used in) operating activities less purchases of property,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Teknova provides Adjusted EBITDA and Free Cash Flow (Outflow) in this press release because Teknova believes that analysts, investors, and other interested parties frequently use these measures to evaluate companies in Teknova’s industry and that such measures facilitate comparisons on a consistent basis across reporting periods. Teknova also believes such measures are helpful in highlighting trends in Teknova’s operating results because they exclude items that are not indicative of Teknova’s core operating performance. Investors should consider non-GAAP financial measures in addition to, and not as a substitute for, or as superior to, measures of financial performance prepared in accordance with GAAP. The non-GAAP financial measures presented by Teknova may be different from the non-GAAP financial measures used by other companies.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 full reconciliation of these non-GAAP measures to the most comparable GAAP measures is included at the end of this release.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b/>
          <w:color w:val="000000"/>
          <w:sz w:val="24"/>
        </w:rPr>
      </w:pPr>
      <w:r>
        <w:rPr>
          <w:rFonts w:ascii="sans-serif" w:hAnsi="sans-serif"/>
          <w:b/>
          <w:color w:val="000000"/>
          <w:sz w:val="24"/>
        </w:rPr>
        <w:t>Forward-Looking Statements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Statements in this press release about future expectations, plans, and prospects, as well as any other statements regarding matters that are not historical facts, may constitute “forward-looking statements.” These statements include, but are not limited to, statements relating to Teknova’s anticipated total revenue, including our expectations for 2026 revenue and Free Cash Outflow guidance, and other statements about Teknova’s business prospects, including about Teknova’s profitability, strategy of managing operating expenses, and long-term growth strategy.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These forward-looking statements are based on management’s current expectations and beliefs and are subject to risks and uncertainties, all of which are difficult to predict and many of which are beyond Teknova’s control and could cause actual results to differ materially and adversely from those described in the forward-looking statements. These risks and uncertainties include, but are not limited to, demand for Teknova’s products (including the potential delay to or pausing of customer orders); Teknova’s assessment of fundamental indicators of future demand across its target customer base; Teknova’s cash flows and revenue growth rate; Teknova’s supply chain, sourcing, manufacturing, and warehousing; inventory management; risks related to global economic and marketplace uncertainties, including those related to the conflicts in Ukraine and the Middle East; potential acquisitions and integration of other companies; and other factors discussed in the “Risk Factors” section of Teknova’s most recent periodic reports filed with the Securities and Exchange Commission (“SEC”), including in Teknova’s Annual Report on Form 10-K for the year ended December 31, 2025, and subsequent Quarterly Reports on Form 10-Q filed with the SEC, all of which you may obtain for free on the SEC’s website at www.sec.gov. Although Teknova believes that the expectations reflected in its forward-looking statements are reasonable, Teknova does not know whether its expectations will prove correct. You are cautioned not to place undue reliance on these forward-looking statements, which Teknova makes only as of the date hereof, even if they are repeated by Teknova subsequently. Teknova does not intend and shall have no obligation to update, amend, or clarify these forward-looking statements, except as may be required under applicable securities laws.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Investor Contact</w:t>
      </w:r>
    </w:p>
    <w:p>
      <w:pPr>
        <w:pStyle w:val="TextBody"/>
        <w:bidi w:val="0"/>
        <w:jc w:val="left"/>
        <w:rPr>
          <w:rFonts w:ascii="sans-serif" w:hAnsi="sans-serif"/>
          <w:color w:val="000000"/>
          <w:sz w:val="24"/>
        </w:rPr>
      </w:pPr>
      <w:r>
        <w:rPr>
          <w:rFonts w:ascii="sans-serif" w:hAnsi="sans-serif"/>
          <w:color w:val="000000"/>
          <w:sz w:val="24"/>
        </w:rPr>
        <w:t>Matt Lowell</w:t>
      </w:r>
    </w:p>
    <w:p>
      <w:pPr>
        <w:pStyle w:val="TextBody"/>
        <w:bidi w:val="0"/>
        <w:jc w:val="left"/>
        <w:rPr>
          <w:rFonts w:ascii="sans-serif" w:hAnsi="sans-serif"/>
          <w:color w:val="000000"/>
          <w:sz w:val="24"/>
        </w:rPr>
      </w:pPr>
      <w:r>
        <w:rPr>
          <w:rFonts w:ascii="sans-serif" w:hAnsi="sans-serif"/>
          <w:color w:val="000000"/>
          <w:sz w:val="24"/>
        </w:rPr>
        <w:t>Chief Financial Officer</w:t>
      </w:r>
    </w:p>
    <w:p>
      <w:pPr>
        <w:pStyle w:val="TextBody"/>
        <w:bidi w:val="0"/>
        <w:jc w:val="left"/>
        <w:rPr>
          <w:rFonts w:ascii="sans-serif" w:hAnsi="sans-serif"/>
          <w:color w:val="000000"/>
          <w:sz w:val="24"/>
        </w:rPr>
      </w:pPr>
      <w:r>
        <w:rPr>
          <w:rFonts w:ascii="sans-serif" w:hAnsi="sans-serif"/>
          <w:color w:val="000000"/>
          <w:sz w:val="24"/>
        </w:rPr>
        <w:t>matt.lowell@teknova.com</w:t>
      </w:r>
    </w:p>
    <w:p>
      <w:pPr>
        <w:pStyle w:val="TextBody"/>
        <w:bidi w:val="0"/>
        <w:jc w:val="left"/>
        <w:rPr>
          <w:rFonts w:ascii="sans-serif" w:hAnsi="sans-serif"/>
          <w:color w:val="000000"/>
          <w:sz w:val="24"/>
        </w:rPr>
      </w:pPr>
      <w:r>
        <w:rPr>
          <w:rFonts w:ascii="sans-serif" w:hAnsi="sans-serif"/>
          <w:color w:val="000000"/>
          <w:sz w:val="24"/>
        </w:rPr>
        <w:t>+1 831-637-1100</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Media Contact</w:t>
      </w:r>
    </w:p>
    <w:p>
      <w:pPr>
        <w:pStyle w:val="TextBody"/>
        <w:bidi w:val="0"/>
        <w:jc w:val="left"/>
        <w:rPr>
          <w:rFonts w:ascii="sans-serif" w:hAnsi="sans-serif"/>
          <w:color w:val="000000"/>
          <w:sz w:val="24"/>
        </w:rPr>
      </w:pPr>
      <w:r>
        <w:rPr>
          <w:rFonts w:ascii="sans-serif" w:hAnsi="sans-serif"/>
          <w:color w:val="000000"/>
          <w:sz w:val="24"/>
        </w:rPr>
        <w:t>Jennifer Henry</w:t>
      </w:r>
    </w:p>
    <w:p>
      <w:pPr>
        <w:pStyle w:val="TextBody"/>
        <w:bidi w:val="0"/>
        <w:jc w:val="left"/>
        <w:rPr>
          <w:rFonts w:ascii="sans-serif" w:hAnsi="sans-serif"/>
          <w:color w:val="000000"/>
          <w:sz w:val="24"/>
        </w:rPr>
      </w:pPr>
      <w:r>
        <w:rPr>
          <w:rFonts w:ascii="sans-serif" w:hAnsi="sans-serif"/>
          <w:color w:val="000000"/>
          <w:sz w:val="24"/>
        </w:rPr>
        <w:t>Senior Vice President, Marketing</w:t>
      </w:r>
    </w:p>
    <w:p>
      <w:pPr>
        <w:pStyle w:val="TextBody"/>
        <w:bidi w:val="0"/>
        <w:jc w:val="left"/>
        <w:rPr>
          <w:rFonts w:ascii="sans-serif" w:hAnsi="sans-serif"/>
          <w:color w:val="000000"/>
          <w:sz w:val="24"/>
        </w:rPr>
      </w:pPr>
      <w:r>
        <w:rPr>
          <w:rFonts w:ascii="sans-serif" w:hAnsi="sans-serif"/>
          <w:color w:val="000000"/>
          <w:sz w:val="24"/>
        </w:rPr>
        <w:t>jenn.henry@teknova.com</w:t>
      </w:r>
    </w:p>
    <w:p>
      <w:pPr>
        <w:pStyle w:val="TextBody"/>
        <w:bidi w:val="0"/>
        <w:jc w:val="left"/>
        <w:rPr>
          <w:rFonts w:ascii="sans-serif" w:hAnsi="sans-serif"/>
          <w:color w:val="000000"/>
          <w:sz w:val="24"/>
        </w:rPr>
      </w:pPr>
      <w:r>
        <w:rPr>
          <w:rFonts w:ascii="sans-serif" w:hAnsi="sans-serif"/>
          <w:color w:val="000000"/>
          <w:sz w:val="24"/>
        </w:rPr>
        <w:t>+1 831-313-1259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sans-serif" w:hAnsi="sans-serif"/>
          <w:b/>
          <w:color w:val="000000"/>
          <w:sz w:val="24"/>
        </w:rPr>
      </w:pPr>
      <w:r>
        <w:rPr>
          <w:rFonts w:ascii="sans-serif" w:hAnsi="sans-serif"/>
          <w:b/>
          <w:color w:val="000000"/>
          <w:sz w:val="24"/>
        </w:rPr>
        <w:t>Condensed Statements of Operations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7"/>
        <w:gridCol w:w="146"/>
        <w:gridCol w:w="212"/>
        <w:gridCol w:w="1042"/>
        <w:gridCol w:w="166"/>
        <w:gridCol w:w="146"/>
        <w:gridCol w:w="212"/>
        <w:gridCol w:w="1042"/>
        <w:gridCol w:w="166"/>
        <w:gridCol w:w="146"/>
        <w:gridCol w:w="211"/>
        <w:gridCol w:w="1036"/>
        <w:gridCol w:w="166"/>
        <w:gridCol w:w="146"/>
        <w:gridCol w:w="211"/>
        <w:gridCol w:w="1036"/>
        <w:gridCol w:w="594"/>
      </w:tblGrid>
      <w:tr>
        <w:trPr/>
        <w:tc>
          <w:tcPr>
            <w:tcW w:w="3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53,634,826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53,614,671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53,435,210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sans-serif" w:hAnsi="sans-serif"/>
          <w:b/>
          <w:color w:val="000000"/>
          <w:sz w:val="24"/>
        </w:rPr>
      </w:pPr>
      <w:r>
        <w:rPr>
          <w:rFonts w:ascii="sans-serif" w:hAnsi="sans-serif"/>
          <w:b/>
          <w:color w:val="000000"/>
          <w:sz w:val="24"/>
        </w:rPr>
        <w:t>Condensed Balance Sheets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7820" w:type="dxa"/>
        <w:jc w:val="left"/>
        <w:tblInd w:w="0" w:type="dxa"/>
        <w:tblLayout w:type="fixed"/>
        <w:tblCellMar>
          <w:top w:w="28" w:type="dxa"/>
          <w:left w:w="28" w:type="dxa"/>
          <w:bottom w:w="28" w:type="dxa"/>
          <w:right w:w="28" w:type="dxa"/>
        </w:tblCellMar>
      </w:tblPr>
      <w:tblGrid>
        <w:gridCol w:w="4096"/>
        <w:gridCol w:w="146"/>
        <w:gridCol w:w="236"/>
        <w:gridCol w:w="904"/>
        <w:gridCol w:w="166"/>
        <w:gridCol w:w="146"/>
        <w:gridCol w:w="313"/>
        <w:gridCol w:w="1202"/>
        <w:gridCol w:w="6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held-to-maturity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Times New Roman" w:hAnsi="Times New Roman"/>
          <w:sz w:val="20"/>
        </w:rPr>
      </w:pPr>
      <w:r>
        <w:rPr>
          <w:rFonts w:ascii="sans-serif" w:hAnsi="sans-serif"/>
          <w:b/>
          <w:color w:val="000000"/>
          <w:sz w:val="24"/>
        </w:rPr>
        <w:t>Condensed Statements of Cash Flows</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38"/>
        <w:gridCol w:w="146"/>
        <w:gridCol w:w="229"/>
        <w:gridCol w:w="670"/>
        <w:gridCol w:w="194"/>
        <w:gridCol w:w="170"/>
        <w:gridCol w:w="229"/>
        <w:gridCol w:w="705"/>
        <w:gridCol w:w="166"/>
        <w:gridCol w:w="146"/>
        <w:gridCol w:w="215"/>
        <w:gridCol w:w="661"/>
        <w:gridCol w:w="182"/>
        <w:gridCol w:w="160"/>
        <w:gridCol w:w="215"/>
        <w:gridCol w:w="661"/>
        <w:gridCol w:w="818"/>
      </w:tblGrid>
      <w:tr>
        <w:trPr/>
        <w:tc>
          <w:tcPr>
            <w:tcW w:w="4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(8,215</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income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81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81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(3,830</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(6,204</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(9,735</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5,852</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exit fee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financed insurance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3,276</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sans-serif" w:hAnsi="sans-serif"/>
          <w:b/>
          <w:color w:val="000000"/>
          <w:sz w:val="24"/>
        </w:rPr>
      </w:pPr>
      <w:r>
        <w:rPr>
          <w:rFonts w:ascii="sans-serif" w:hAnsi="sans-serif"/>
          <w:b/>
          <w:color w:val="000000"/>
          <w:sz w:val="24"/>
        </w:rPr>
        <w:t>Reconciliation of Non-GAAP Measures to the Most Comparable GAAP Measures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9571" w:type="dxa"/>
        <w:jc w:val="left"/>
        <w:tblInd w:w="0" w:type="dxa"/>
        <w:tblLayout w:type="fixed"/>
        <w:tblCellMar>
          <w:top w:w="28" w:type="dxa"/>
          <w:left w:w="28" w:type="dxa"/>
          <w:bottom w:w="28" w:type="dxa"/>
          <w:right w:w="28" w:type="dxa"/>
        </w:tblCellMar>
      </w:tblPr>
      <w:tblGrid>
        <w:gridCol w:w="3201"/>
        <w:gridCol w:w="146"/>
        <w:gridCol w:w="301"/>
        <w:gridCol w:w="901"/>
        <w:gridCol w:w="237"/>
        <w:gridCol w:w="208"/>
        <w:gridCol w:w="301"/>
        <w:gridCol w:w="901"/>
        <w:gridCol w:w="166"/>
        <w:gridCol w:w="146"/>
        <w:gridCol w:w="280"/>
        <w:gridCol w:w="839"/>
        <w:gridCol w:w="220"/>
        <w:gridCol w:w="194"/>
        <w:gridCol w:w="280"/>
        <w:gridCol w:w="839"/>
        <w:gridCol w:w="41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(4,008</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and 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(673</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tbl>
      <w:tblPr>
        <w:tblW w:w="9844" w:type="dxa"/>
        <w:jc w:val="left"/>
        <w:tblInd w:w="0" w:type="dxa"/>
        <w:tblLayout w:type="fixed"/>
        <w:tblCellMar>
          <w:top w:w="28" w:type="dxa"/>
          <w:left w:w="28" w:type="dxa"/>
          <w:bottom w:w="28" w:type="dxa"/>
          <w:right w:w="28" w:type="dxa"/>
        </w:tblCellMar>
      </w:tblPr>
      <w:tblGrid>
        <w:gridCol w:w="3676"/>
        <w:gridCol w:w="146"/>
        <w:gridCol w:w="325"/>
        <w:gridCol w:w="742"/>
        <w:gridCol w:w="256"/>
        <w:gridCol w:w="225"/>
        <w:gridCol w:w="325"/>
        <w:gridCol w:w="974"/>
        <w:gridCol w:w="166"/>
        <w:gridCol w:w="146"/>
        <w:gridCol w:w="280"/>
        <w:gridCol w:w="839"/>
        <w:gridCol w:w="220"/>
        <w:gridCol w:w="194"/>
        <w:gridCol w:w="280"/>
        <w:gridCol w:w="839"/>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(4,176</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3166</Words>
  <Characters>17260</Characters>
  <CharactersWithSpaces>20828</CharactersWithSpaces>
  <Paragraphs>1848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