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kno-20260630.htm"/>
      <w:bookmarkStart w:id="1" w:name="kstkno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017" w:type="dxa"/>
        <w:jc w:val="left"/>
        <w:tblInd w:w="0" w:type="dxa"/>
        <w:tblLayout w:type="fixed"/>
        <w:tblCellMar>
          <w:top w:w="28" w:type="dxa"/>
          <w:left w:w="28" w:type="dxa"/>
          <w:bottom w:w="28" w:type="dxa"/>
          <w:right w:w="28" w:type="dxa"/>
        </w:tblCellMar>
      </w:tblPr>
      <w:tblGrid>
        <w:gridCol w:w="331"/>
        <w:gridCol w:w="8686"/>
      </w:tblGrid>
      <w:tr>
        <w:trPr/>
        <w:tc>
          <w:tcPr>
            <w:tcW w:w="331"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6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001-40538</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ALPHA TEKNOVA,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left"/>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94-3368109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2451 Bert Dr.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Hollister,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95023</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(831) 637-1100</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3376"/>
        <w:gridCol w:w="146"/>
        <w:gridCol w:w="826"/>
        <w:gridCol w:w="146"/>
        <w:gridCol w:w="33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TKNO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As of August 5, 2026, the registrant had 53,688,246</w:t>
      </w:r>
      <w:r>
        <w:rPr>
          <w:rFonts w:ascii="Times New Roman" w:hAnsi="Times New Roman"/>
          <w:color w:val="000000"/>
          <w:sz w:val="20"/>
        </w:rPr>
        <w:t xml:space="preserve"> </w:t>
      </w:r>
      <w:r>
        <w:rPr>
          <w:rFonts w:ascii="Times New Roman" w:hAnsi="Times New Roman"/>
          <w:color w:val="000000"/>
          <w:sz w:val="18"/>
        </w:rPr>
        <w:t>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231F20"/>
          <w:sz w:val="20"/>
        </w:rPr>
        <w:t>CAUTIONARY NOTE REGARDING FORWARD-LOOKING STATEMENTS</w:t>
      </w:r>
      <w:r>
        <w:rPr>
          <w:rFonts w:ascii="Times New Roman" w:hAnsi="Times New Roman"/>
          <w:color w:val="231F20"/>
          <w:sz w:val="20"/>
        </w:rPr>
        <w:t xml:space="preserve"> </w:t>
      </w:r>
    </w:p>
    <w:p>
      <w:pPr>
        <w:pStyle w:val="TextBody"/>
        <w:bidi w:val="0"/>
        <w:jc w:val="center"/>
        <w:rPr/>
      </w:pPr>
      <w:r>
        <w:rPr/>
        <w:t> </w:t>
      </w:r>
    </w:p>
    <w:p>
      <w:pPr>
        <w:pStyle w:val="TextBody"/>
        <w:bidi w:val="0"/>
        <w:jc w:val="left"/>
        <w:rPr>
          <w:rFonts w:ascii="Times New Roman" w:hAnsi="Times New Roman"/>
          <w:color w:val="231F20"/>
          <w:sz w:val="20"/>
        </w:rPr>
      </w:pPr>
      <w:r>
        <w:rPr>
          <w:rFonts w:ascii="Times New Roman" w:hAnsi="Times New Roman"/>
          <w:color w:val="231F20"/>
          <w:sz w:val="20"/>
        </w:rPr>
        <w:t>This Quarterly Report on Form 10-Q contains forward-looking statements that involve substantial risks and uncertainties. All statements other than statements of historical facts contained in this Quarterly Report on Form 10-Q, including statements relating to our financial condition, results of operations, plans, objectives, future performance and business, are forward-looking statements. In some cases, you can identify forward-looking statements because they contain words such as “may,” “will,” “should,” “expects,” “plans,” “anticipates,” “could,” “intends,” “target,” “projects,” “contemplates,” “believes,” “estimates,” “predicts,” “would,” “potential,” “likely,” or “continue” or the negative of these terms or other similar expressions. Forward-looking statements contained in this Quarterly Report on Form 10-Q may include, but are not limited to, statements about: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general economic, market or business conditions as well as those in the specific industry and markets in which our business operates which may impact customer demand for our products;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ability to meet our publicly announced guidance or other expectations about our business;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financial performance, including our revenue, costs of revenue, and operating expenses;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grow profitability;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expand our operations and increase capacity;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anticipated uses of cash in the short and long terms and the sufficiency of our sources of liquidity;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defend against claims and mitigate adverse results from any legal proceedings against us and the merits of any claims or suits against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recent history of losses and our ability to continue as a going concern;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limit our accounts receivable and credit risk exposure;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investments, if any, in additional facilities to facilitate our expected growth;</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uses of capital to pursue potential acquisitions, if any, that further or accelerate our strategy;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use of equity or debt financings to execute our business strategy;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take advantage of certain exemptions from various reporting requirements generally applicable to public companies;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expectations regarding the period during which we qualify as an emerging growth company under the Jumpstart Our Business Startups Act of 2012 (the JOBS Act), and the impact of the anticipated loss of emerging growth company status as of the end of the fiscal year ended December 31, 2026;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any pandemic, epidemic, or outbreak of infectious disease, natural disasters, geopolitical unrest, war, terrorism, public health issues or other catastrophic events may have on our business and our ability to actively manage our response to these types of events;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adoption of critical accounting policies and estimates;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increase the scale and capacity of, or otherwise effectively adjust, our manufacturing processes and systems in response to market demands;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increased competition from additional companies entering the market and the availability of more advanced technologies in the market;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use of artificial intelligence or other emerging technologies in various facets of our operations, including in our manufacturing processes, quality systems, and customer-facing activities, and the potential for such technologies to exacerbate competitive, operational, regulatory, legal, cybersecurity, intellectual property, compliance, and other risks;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ability to hire and retain key personnel;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obtain capital on favorable terms, or at all;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generate future revenue growth in market segments such as emerging therapeutic and diagnostic modalities;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increased costs on our operations, including materials, labor, inflation, and interest rates;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use cash on hand to meet current and future financial obligations, including funding our operations, debt service requirements, and capital expenditures;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enforceability of our exclusive forum provisions in our amended and restated certificate of incorporation;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customers’ sensitivity to product nonconformances, defects, and errors;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availability of exemption of our products from compliance with the U.S. Food, Drug and Cosmetic Act;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secure and maintain a stable supply of raw materials in the future;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maintain a corporate culture that contributes to our success;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marketability of our products across a wide range of markets and the probability of success or revenue opportunity in our target markets;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developments in the United States (U.S.) and other countries;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revenue recognition rules and other factors on our financial results;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obtain, maintain, and enforce intellectual property protection for our current and future products, including our ability to protect our trade secrets, trademarks, and trade names;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ongoing expenses associated with being a public company.</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We caution you that the foregoing list may not contain all the forward-looking statements made in this Quarterly Report on Form 10-Q.</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have based the forward-looking statements contained in this Quarterly Report on Form 10-Q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in Part I, Item 1A, of our Annual Report on Form 10-K filed with the SEC on March 2, 2026 (the 2025 Annual Report on Form 10-K) and elsewhere in this Quarterly Report on Form 10-Q. These risks are not exhaustive. Other sections of this Quarterly Report on Form 10-Q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In addition, statements that “we believe” and similar statements reflect our beliefs and opinions on the relevant subject, based upon information available to us as of the date of this Quarterly Report on Form 10-Q. While we believe that information forms a reasonable basis for such statements, it may be limited or incomplete, and our statements should not be read to indicate that we have conducted an exhaustive inquiry into, or review of, all potentially available relevant information. These statements are inherently uncertain, and investors are cautioned not to rely upon them unduly.</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forward-looking statements in this Quarterly Report on Form 10-Q are made as of the date hereof. We undertake no obligation to update any forward-looking statements after the date of this Quarterly Report on Form 10-Q or to conform such statements to actual results or revised expectations, except as required by law.</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Unless the context otherwise requires, the terms “Teknova,” the “Company,” “we,” “us,” and “our” in this Quarterly Report on Form 10-Q refer to Alpha Teknova, Inc.</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ALPHA TEKNOVA, INC.</w:t>
      </w:r>
    </w:p>
    <w:p>
      <w:pPr>
        <w:pStyle w:val="TextBody"/>
        <w:bidi w:val="0"/>
        <w:jc w:val="center"/>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Form 10-Q for the Quarter Ended June 30, 2026</w:t>
      </w:r>
    </w:p>
    <w:p>
      <w:pPr>
        <w:pStyle w:val="TextBody"/>
        <w:bidi w:val="0"/>
        <w:jc w:val="center"/>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INDEX</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76"/>
        <w:gridCol w:w="146"/>
        <w:gridCol w:w="8366"/>
        <w:gridCol w:w="146"/>
        <w:gridCol w:w="57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condensed_financial_statements">
              <w:r>
                <w:rPr>
                  <w:rStyle w:val="InternetLink"/>
                  <w:rFonts w:ascii="Times New Roman" w:hAnsi="Times New Roman"/>
                  <w:color w:val="0000FF"/>
                  <w:sz w:val="20"/>
                  <w:u w:val="single"/>
                </w:rPr>
                <w:t>Condensed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condensed_statement_of_operations_comp_i">
              <w:r>
                <w:rPr>
                  <w:rStyle w:val="InternetLink"/>
                  <w:rFonts w:ascii="Times New Roman" w:hAnsi="Times New Roman"/>
                  <w:color w:val="0000FF"/>
                  <w:sz w:val="20"/>
                  <w:u w:val="single"/>
                </w:rPr>
                <w:t>Condensed Statements of Operations (Unaudited) for the</w:t>
              </w:r>
            </w:hyperlink>
            <w:hyperlink w:anchor="condensed_statement_of_operations_comp_i">
              <w:r>
                <w:rPr>
                  <w:rStyle w:val="InternetLink"/>
                  <w:rFonts w:ascii="Times New Roman" w:hAnsi="Times New Roman"/>
                  <w:color w:val="0000FF"/>
                  <w:sz w:val="20"/>
                </w:rPr>
                <w:t xml:space="preserve"> </w:t>
              </w:r>
            </w:hyperlink>
            <w:hyperlink w:anchor="cash_flows">
              <w:r>
                <w:rPr>
                  <w:rStyle w:val="InternetLink"/>
                  <w:rFonts w:ascii="Times New Roman" w:hAnsi="Times New Roman"/>
                  <w:color w:val="000080"/>
                  <w:sz w:val="20"/>
                  <w:u w:val="single"/>
                </w:rPr>
                <w:t>Three and Six Months Ended</w:t>
              </w:r>
            </w:hyperlink>
            <w:hyperlink w:anchor="condensed_statement_of_operations_comp_i">
              <w:r>
                <w:rPr>
                  <w:rStyle w:val="InternetLink"/>
                  <w:rFonts w:ascii="Times New Roman" w:hAnsi="Times New Roman"/>
                  <w:color w:val="000080"/>
                  <w:sz w:val="20"/>
                  <w:u w:val="single"/>
                </w:rPr>
                <w:t xml:space="preserve">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Balance Sheets (Unaudited) at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Times New Roman" w:hAnsi="Times New Roman"/>
                  <w:color w:val="0000FF"/>
                  <w:sz w:val="20"/>
                  <w:u w:val="single"/>
                </w:rPr>
                <w:t>Condensed Statements of Stockholders’ Equity (Unaudited)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Statements of Cash Flows (Unaudited) for the</w:t>
              </w:r>
            </w:hyperlink>
            <w:hyperlink w:anchor="cash_flows">
              <w:r>
                <w:rPr>
                  <w:rStyle w:val="InternetLink"/>
                  <w:rFonts w:ascii="Times New Roman" w:hAnsi="Times New Roman"/>
                  <w:color w:val="0000FF"/>
                  <w:sz w:val="20"/>
                </w:rPr>
                <w:t xml:space="preserve"> </w:t>
              </w:r>
            </w:hyperlink>
            <w:hyperlink w:anchor="condensed_statement_of_operations_comp_i">
              <w:r>
                <w:rPr>
                  <w:rStyle w:val="InternetLink"/>
                  <w:rFonts w:ascii="Times New Roman" w:hAnsi="Times New Roman"/>
                  <w:color w:val="0000FF"/>
                  <w:sz w:val="20"/>
                  <w:u w:val="single"/>
                </w:rPr>
                <w:t>Six Months Ended</w:t>
              </w:r>
            </w:hyperlink>
            <w:hyperlink w:anchor="condensed_statement_of_operations_comp_i">
              <w:r>
                <w:rPr>
                  <w:rStyle w:val="InternetLink"/>
                  <w:rFonts w:ascii="Times New Roman" w:hAnsi="Times New Roman"/>
                  <w:color w:val="0000FF"/>
                  <w:sz w:val="20"/>
                </w:rPr>
                <w:t xml:space="preserve"> </w:t>
              </w:r>
            </w:hyperlink>
            <w:hyperlink w:anchor="cash_flows">
              <w:r>
                <w:rPr>
                  <w:rStyle w:val="InternetLink"/>
                  <w:rFonts w:ascii="Times New Roman" w:hAnsi="Times New Roman"/>
                  <w:color w:val="0000FF"/>
                  <w:sz w:val="20"/>
                  <w:u w:val="single"/>
                </w:rPr>
                <w:t>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_notes">
              <w:r>
                <w:rPr>
                  <w:rStyle w:val="InternetLink"/>
                  <w:rFonts w:ascii="Times New Roman" w:hAnsi="Times New Roman"/>
                  <w:color w:val="0000FF"/>
                  <w:sz w:val="20"/>
                  <w:u w:val="single"/>
                </w:rPr>
                <w:t>Notes to Unaudited Condensed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7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i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7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200" w:after="283"/>
        <w:jc w:val="left"/>
        <w:rPr>
          <w:rFonts w:ascii="Times New Roman" w:hAnsi="Times New Roman"/>
          <w:b/>
          <w:color w:val="000000"/>
          <w:sz w:val="20"/>
        </w:rPr>
      </w:pPr>
      <w:bookmarkStart w:id="3" w:name="condensed_financial_statements"/>
      <w:bookmarkEnd w:id="3"/>
      <w:r>
        <w:rPr>
          <w:rFonts w:ascii="Times New Roman" w:hAnsi="Times New Roman"/>
          <w:b/>
          <w:color w:val="000000"/>
          <w:sz w:val="20"/>
        </w:rPr>
        <w:t>Item 1. Condensed Financial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bookmarkStart w:id="4" w:name="condensed_statement_of_operations_comp_i"/>
      <w:bookmarkEnd w:id="4"/>
      <w:r>
        <w:rPr>
          <w:rFonts w:ascii="Times New Roman" w:hAnsi="Times New Roman"/>
          <w:b/>
          <w:color w:val="000000"/>
          <w:sz w:val="20"/>
        </w:rPr>
        <w:t>Condensed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27"/>
        <w:gridCol w:w="146"/>
        <w:gridCol w:w="212"/>
        <w:gridCol w:w="1042"/>
        <w:gridCol w:w="166"/>
        <w:gridCol w:w="146"/>
        <w:gridCol w:w="212"/>
        <w:gridCol w:w="1042"/>
        <w:gridCol w:w="166"/>
        <w:gridCol w:w="146"/>
        <w:gridCol w:w="211"/>
        <w:gridCol w:w="1036"/>
        <w:gridCol w:w="166"/>
        <w:gridCol w:w="146"/>
        <w:gridCol w:w="211"/>
        <w:gridCol w:w="1036"/>
        <w:gridCol w:w="594"/>
      </w:tblGrid>
      <w:tr>
        <w:trPr/>
        <w:tc>
          <w:tcPr>
            <w:tcW w:w="3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adjustment to loan exit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53,634,826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53,448,736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53,614,671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53,435,210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bookmarkStart w:id="5" w:name="balance_sheet"/>
      <w:bookmarkEnd w:id="5"/>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75"/>
        <w:gridCol w:w="146"/>
        <w:gridCol w:w="209"/>
        <w:gridCol w:w="802"/>
        <w:gridCol w:w="166"/>
        <w:gridCol w:w="146"/>
        <w:gridCol w:w="237"/>
        <w:gridCol w:w="911"/>
        <w:gridCol w:w="613"/>
      </w:tblGrid>
      <w:tr>
        <w:trPr/>
        <w:tc>
          <w:tcPr>
            <w:tcW w:w="6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 held-to-maturity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Accounts receivable, net of allowance for credit losses of $27</w:t>
            </w:r>
            <w:r>
              <w:rPr>
                <w:rFonts w:ascii="Times New Roman" w:hAnsi="Times New Roman"/>
                <w:color w:val="000000"/>
                <w:sz w:val="20"/>
              </w:rPr>
              <w:t> </w:t>
            </w:r>
            <w:r>
              <w:rPr>
                <w:rFonts w:ascii="Times New Roman" w:hAnsi="Times New Roman"/>
                <w:color w:val="000000"/>
                <w:sz w:val="18"/>
              </w:rPr>
              <w:t>thousand and $23</w:t>
            </w:r>
            <w:r>
              <w:rPr>
                <w:rFonts w:ascii="Times New Roman" w:hAnsi="Times New Roman"/>
                <w:color w:val="000000"/>
                <w:sz w:val="20"/>
              </w:rPr>
              <w:t> </w:t>
            </w:r>
            <w:r>
              <w:rPr>
                <w:rFonts w:ascii="Times New Roman" w:hAnsi="Times New Roman"/>
                <w:color w:val="000000"/>
                <w:sz w:val="18"/>
              </w:rPr>
              <w:t>thousand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34,511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41,733</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right-of-use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14,112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11,943</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103,584</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13,123</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at June 30, 2026 and December 31, 2025, respectively, zero</w:t>
            </w:r>
            <w:r>
              <w:rPr>
                <w:rFonts w:ascii="Times New Roman" w:hAnsi="Times New Roman"/>
                <w:color w:val="000000"/>
                <w:sz w:val="20"/>
              </w:rPr>
              <w:t> </w:t>
            </w:r>
            <w:r>
              <w:rPr>
                <w:rFonts w:ascii="Times New Roman" w:hAnsi="Times New Roman"/>
                <w:color w:val="000000"/>
                <w:sz w:val="18"/>
              </w:rPr>
              <w:t>shares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$0.00001</w:t>
            </w:r>
            <w:r>
              <w:rPr>
                <w:rFonts w:ascii="Times New Roman" w:hAnsi="Times New Roman"/>
                <w:color w:val="000000"/>
                <w:sz w:val="20"/>
              </w:rPr>
              <w:t> </w:t>
            </w:r>
            <w:r>
              <w:rPr>
                <w:rFonts w:ascii="Times New Roman" w:hAnsi="Times New Roman"/>
                <w:color w:val="000000"/>
                <w:sz w:val="18"/>
              </w:rPr>
              <w:t>par value, 490,000,000</w:t>
            </w:r>
            <w:r>
              <w:rPr>
                <w:rFonts w:ascii="Times New Roman" w:hAnsi="Times New Roman"/>
                <w:color w:val="000000"/>
                <w:sz w:val="20"/>
              </w:rPr>
              <w:t> </w:t>
            </w:r>
            <w:r>
              <w:rPr>
                <w:rFonts w:ascii="Times New Roman" w:hAnsi="Times New Roman"/>
                <w:color w:val="000000"/>
                <w:sz w:val="18"/>
              </w:rPr>
              <w:t>shares authorized at June 30, 2026 and December 31, 2025, 53,682,647</w:t>
            </w:r>
            <w:r>
              <w:rPr>
                <w:rFonts w:ascii="Times New Roman" w:hAnsi="Times New Roman"/>
                <w:color w:val="000000"/>
                <w:sz w:val="20"/>
              </w:rPr>
              <w:t> </w:t>
            </w:r>
            <w:r>
              <w:rPr>
                <w:rFonts w:ascii="Times New Roman" w:hAnsi="Times New Roman"/>
                <w:color w:val="000000"/>
                <w:sz w:val="18"/>
              </w:rPr>
              <w:t>and 53,562,154</w:t>
            </w:r>
            <w:r>
              <w:rPr>
                <w:rFonts w:ascii="Times New Roman" w:hAnsi="Times New Roman"/>
                <w:color w:val="000000"/>
                <w:sz w:val="20"/>
              </w:rPr>
              <w:t> </w:t>
            </w:r>
            <w:r>
              <w:rPr>
                <w:rFonts w:ascii="Times New Roman" w:hAnsi="Times New Roman"/>
                <w:color w:val="000000"/>
                <w:sz w:val="18"/>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204,564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(135,790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68,775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103,584</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bookmarkStart w:id="6" w:name="condensed_consolidated_statements_equity"/>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86"/>
        <w:gridCol w:w="146"/>
        <w:gridCol w:w="146"/>
        <w:gridCol w:w="916"/>
        <w:gridCol w:w="146"/>
        <w:gridCol w:w="146"/>
        <w:gridCol w:w="249"/>
        <w:gridCol w:w="442"/>
        <w:gridCol w:w="146"/>
        <w:gridCol w:w="146"/>
        <w:gridCol w:w="196"/>
        <w:gridCol w:w="691"/>
        <w:gridCol w:w="146"/>
        <w:gridCol w:w="146"/>
        <w:gridCol w:w="217"/>
        <w:gridCol w:w="834"/>
        <w:gridCol w:w="166"/>
        <w:gridCol w:w="146"/>
        <w:gridCol w:w="265"/>
        <w:gridCol w:w="817"/>
        <w:gridCol w:w="212"/>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April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53,610,200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64,924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53,682,647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62,600</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6"/>
        <w:gridCol w:w="146"/>
        <w:gridCol w:w="146"/>
        <w:gridCol w:w="916"/>
        <w:gridCol w:w="146"/>
        <w:gridCol w:w="146"/>
        <w:gridCol w:w="249"/>
        <w:gridCol w:w="442"/>
        <w:gridCol w:w="146"/>
        <w:gridCol w:w="146"/>
        <w:gridCol w:w="196"/>
        <w:gridCol w:w="691"/>
        <w:gridCol w:w="146"/>
        <w:gridCol w:w="146"/>
        <w:gridCol w:w="217"/>
        <w:gridCol w:w="834"/>
        <w:gridCol w:w="166"/>
        <w:gridCol w:w="146"/>
        <w:gridCol w:w="265"/>
        <w:gridCol w:w="817"/>
        <w:gridCol w:w="212"/>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April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53,437,060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78,605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53,514,288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76,057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86"/>
        <w:gridCol w:w="146"/>
        <w:gridCol w:w="146"/>
        <w:gridCol w:w="916"/>
        <w:gridCol w:w="146"/>
        <w:gridCol w:w="146"/>
        <w:gridCol w:w="249"/>
        <w:gridCol w:w="442"/>
        <w:gridCol w:w="146"/>
        <w:gridCol w:w="146"/>
        <w:gridCol w:w="196"/>
        <w:gridCol w:w="691"/>
        <w:gridCol w:w="146"/>
        <w:gridCol w:w="146"/>
        <w:gridCol w:w="217"/>
        <w:gridCol w:w="834"/>
        <w:gridCol w:w="166"/>
        <w:gridCol w:w="146"/>
        <w:gridCol w:w="265"/>
        <w:gridCol w:w="817"/>
        <w:gridCol w:w="212"/>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53,562,154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68,775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53,682,647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62,600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86"/>
        <w:gridCol w:w="146"/>
        <w:gridCol w:w="146"/>
        <w:gridCol w:w="916"/>
        <w:gridCol w:w="146"/>
        <w:gridCol w:w="146"/>
        <w:gridCol w:w="249"/>
        <w:gridCol w:w="442"/>
        <w:gridCol w:w="146"/>
        <w:gridCol w:w="146"/>
        <w:gridCol w:w="196"/>
        <w:gridCol w:w="691"/>
        <w:gridCol w:w="146"/>
        <w:gridCol w:w="146"/>
        <w:gridCol w:w="217"/>
        <w:gridCol w:w="834"/>
        <w:gridCol w:w="166"/>
        <w:gridCol w:w="146"/>
        <w:gridCol w:w="265"/>
        <w:gridCol w:w="817"/>
        <w:gridCol w:w="212"/>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53,409,727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82,394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53,514,288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76,057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bookmarkStart w:id="7" w:name="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34"/>
        <w:gridCol w:w="146"/>
        <w:gridCol w:w="268"/>
        <w:gridCol w:w="824"/>
        <w:gridCol w:w="227"/>
        <w:gridCol w:w="199"/>
        <w:gridCol w:w="268"/>
        <w:gridCol w:w="824"/>
        <w:gridCol w:w="815"/>
      </w:tblGrid>
      <w:tr>
        <w:trPr/>
        <w:tc>
          <w:tcPr>
            <w:tcW w:w="6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(8,215</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Bad debt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interest income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discount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adjustment to loan exit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(3,830</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(6,204</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(7,868</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5,852</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exit fee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financed 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5,912</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3,708</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6,004</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3,276</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Supplemental cash flow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paid, net of amounts 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Capitalized property, plant, and equipment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Recognition of operating right-of-use lease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Recognition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231F20"/>
          <w:sz w:val="20"/>
        </w:rPr>
      </w:pPr>
      <w:r>
        <w:rPr>
          <w:rFonts w:ascii="Times New Roman" w:hAnsi="Times New Roman"/>
          <w:i/>
          <w:color w:val="231F2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left"/>
        <w:rPr>
          <w:rFonts w:ascii="Times New Roman" w:hAnsi="Times New Roman"/>
          <w:b/>
          <w:color w:val="231F20"/>
          <w:sz w:val="20"/>
        </w:rPr>
      </w:pPr>
      <w:bookmarkStart w:id="8" w:name="i_notes"/>
      <w:bookmarkEnd w:id="8"/>
      <w:r>
        <w:rPr>
          <w:rFonts w:ascii="Times New Roman" w:hAnsi="Times New Roman"/>
          <w:b/>
          <w:color w:val="231F20"/>
          <w:sz w:val="20"/>
        </w:rPr>
        <w:t>Note 1. Nature of the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Teknova produces critical reagents for the discovery, development, and commercialization of novel therapies, vaccines, and molecular diagnostics. Product offerings include pre-poured media plates for cell growth and cloning; liquid microbial culture media and supplements for cellular expansion; and molecular biology reagents for sample manipulation, resuspension, and purification. Teknova supports customers spanning the life sciences market, including pharmaceutical and biotechnology companies, contract development and manufacturing organizations, in vitro diagnostic franchises, and academic and government research institutions, with catalog and custom, made-to-order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Teknova manufactures its products at its Hollister, California headquarters and stocks inventory of raw materials, components, and finished goods at that location. The Company ships products directly from its warehouse in Hollister, California.</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2. Basis of Presentation and Summary of Significant Accounting Policies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Basis of Accounting, Presentation and Use of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interim financial statements and related notes have been prepared in accordance with U.S. generally accepted accounting principles (GAAP) and applicable rules and regulations of the Securities and Exchange Commission (SEC) regarding interim financial reporting. Certain information and footnote disclosures normally included in the financial statements prepared in accordance with GAAP have been condensed or omitted in accordance with such rules and regulations.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unaudited condensed financial statements have been prepared on a basis consistent with the audited annual financial statements as of and for the year ended December 31, 2025, and, in the opinion of management, reflect all adjustments, consisting solely of normal recurring adjustments, necessary for the fair presentation of the results for the interim periods presented. The preparation of financial statements in conformity with GAAP requires management to make estimates and assumptions that affect certain amounts of assets, liabilities, revenue, expenses, and related disclosures at the date of the financial statements and during the reporting period. Actual results may differ from those estimates.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These unaudited condensed financial statements should be read in conjunction with the Company’s audited financial statements and the related notes thereto as of and for the year ended December 31, 2025, included in the Company’s Annual Report on Form 10-K filed with the SEC on March 2, 2026 (the 2025 Annual Report on Form 10-K). Refer to </w:t>
      </w:r>
      <w:r>
        <w:rPr>
          <w:rFonts w:ascii="Times New Roman" w:hAnsi="Times New Roman"/>
          <w:color w:val="231F20"/>
          <w:sz w:val="20"/>
        </w:rPr>
        <w:t>“</w:t>
      </w:r>
      <w:r>
        <w:rPr>
          <w:rFonts w:ascii="Times New Roman" w:hAnsi="Times New Roman"/>
          <w:color w:val="000000"/>
          <w:sz w:val="20"/>
        </w:rPr>
        <w:t xml:space="preserve">Notes to Financial Statements—Note 2. Basis of Presentation and Summary of Significant Accounting Policies,” within the 2025 Annual Report on Form 10-K for a full list of the Company’s significant accounting policies. The information in those notes has not changed except as a result of normal adjustments in the interim periods.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00" w:after="160"/>
        <w:jc w:val="left"/>
        <w:rPr>
          <w:rFonts w:ascii="Times New Roman" w:hAnsi="Times New Roman"/>
          <w:sz w:val="20"/>
        </w:rPr>
      </w:pPr>
      <w:r>
        <w:rPr>
          <w:rFonts w:ascii="Times New Roman" w:hAnsi="Times New Roman"/>
          <w:color w:val="000000"/>
          <w:sz w:val="20"/>
        </w:rPr>
        <w:t xml:space="preserve">In July 2025, the Financial Accounting Standards Board (FASB) issued Accounting Standard Update (ASU) 2025-05, which amends Accounting Standards Codification (ASC) 326, </w:t>
      </w:r>
      <w:r>
        <w:rPr>
          <w:rFonts w:ascii="Times New Roman" w:hAnsi="Times New Roman"/>
          <w:i/>
          <w:color w:val="000000"/>
          <w:sz w:val="20"/>
        </w:rPr>
        <w:t>Financial Instruments—Credit Losses</w:t>
      </w:r>
      <w:r>
        <w:rPr>
          <w:rFonts w:ascii="Times New Roman" w:hAnsi="Times New Roman"/>
          <w:color w:val="000000"/>
          <w:sz w:val="20"/>
        </w:rPr>
        <w:t xml:space="preserve">, to provide an optional practical expedient for estimating expected credit losses on current accounts receivable and current contract assets arising from contracts with customers. Under this practical expedient, entities may elect to assume that conditions as of the balance sheet date do not change over the remaining life of the asset. The Company elected to adopt this practical expedient and applied the guidance prospectively beginning January 1, 2026. The adoption of this ASU has not had a material impact on the Company’s condensed financial statements, and the Company does not expect its adoption to have a material impact on its financial statements in future periods.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Accounting Pronouncements Not Yet Adopted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w:t>
      </w:r>
      <w:r>
        <w:rPr>
          <w:rFonts w:ascii="Times New Roman" w:hAnsi="Times New Roman"/>
          <w:color w:val="000000"/>
          <w:sz w:val="20"/>
        </w:rPr>
        <w:t>, which requires the disaggregation of specific expense categories in the notes to the financial statements, as well as a qualitative description of remaining expense amounts that are not separately disaggregated. The guidance is effective for annual reporting periods beginning after December 15, 2026, and requires prospective application, with the option to apply it retrospectively. The Company is currently evaluating the impact of this guidance on its disclosures.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September 2025, the FASB issued ASU 2025-06, which clarifies and modernizes the accounting for costs related to internal-use software in ASC 350-40, </w:t>
      </w:r>
      <w:r>
        <w:rPr>
          <w:rFonts w:ascii="Times New Roman" w:hAnsi="Times New Roman"/>
          <w:i/>
          <w:color w:val="000000"/>
          <w:sz w:val="20"/>
        </w:rPr>
        <w:t>Intangibles—Goodwill and Other—Internal-Use Software</w:t>
      </w:r>
      <w:r>
        <w:rPr>
          <w:rFonts w:ascii="Times New Roman" w:hAnsi="Times New Roman"/>
          <w:color w:val="000000"/>
          <w:sz w:val="20"/>
        </w:rPr>
        <w:t xml:space="preserve">. The guidance removes references to project stages in ASC 350-40 and clarifies the threshold at which entities begin capitalizing costs. Additionally, it specifies disclosure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requirements for capitalized software costs accounted for under ASC 350-40, regardless of how those costs are presented in the financial statements. The guidance is effective for fiscal years beginning after December 15, 2027, including interim reporting periods, with early adoption permitted. The Company is currently evaluating the impact of this guidance on its financial statements.</w:t>
      </w:r>
    </w:p>
    <w:p>
      <w:pPr>
        <w:pStyle w:val="TextBody"/>
        <w:bidi w:val="0"/>
        <w:jc w:val="left"/>
        <w:rPr>
          <w:rFonts w:ascii="Times New Roman" w:hAnsi="Times New Roman"/>
          <w:b/>
          <w:color w:val="231F20"/>
          <w:sz w:val="20"/>
        </w:rPr>
      </w:pPr>
      <w:r>
        <w:rPr>
          <w:rFonts w:ascii="Times New Roman" w:hAnsi="Times New Roman"/>
          <w:b/>
          <w:color w:val="231F20"/>
          <w:sz w:val="20"/>
        </w:rPr>
        <w:t>Note 3. Segment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Operating segments are defined as components of an entity for which separate financial information is available and that are regularly reviewed by the Chief Operating Decision Maker (CODM) to allocate resources to a segment and assess its performance. Teknova’s CODM is its Chief Executive Officer, currently Stephen Gunstream. Teknova derives revenue primarily in the U.S. through the manufacture and sale of critical reagents. Teknova has determined that it operates as one reporting unit, one operating segment, and one reportable segment, as the CODM reviews financial information on a consolidated basis for purposes of allocating resources, making operating decisions, and evaluating financial performance.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CODM assesses performance and decides how to allocate resources and make operating decisions based on net loss, as reported in the Condensed Statement of Operations. Net loss is also used to monitor budget versus actual results. Segment assets are measured as total assets, as reported on the balance sheet. Revenues, expenses, and assets requiring disclosure in accordance with ASC 280, </w:t>
      </w:r>
      <w:r>
        <w:rPr>
          <w:rFonts w:ascii="Times New Roman" w:hAnsi="Times New Roman"/>
          <w:i/>
          <w:color w:val="000000"/>
          <w:sz w:val="20"/>
        </w:rPr>
        <w:t>Segment Reporting</w:t>
      </w:r>
      <w:r>
        <w:rPr>
          <w:rFonts w:ascii="Times New Roman" w:hAnsi="Times New Roman"/>
          <w:color w:val="000000"/>
          <w:sz w:val="20"/>
        </w:rPr>
        <w:t>, are included in the accompanying financial statements. See the Condensed Statements of Operations for the three and six months ended June 30, 2026 and 2025 and the Condensed Balance Sheets as of June 30, 2026 and December 31, 2025, for details.</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4. Revenue Recognition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Teknova recognizes revenue from the sale of manufactured products and services when the Company transfers control of promised goods or services to customers, in an amount that reflects the consideration the Company expects to be entitled to in exchange for those goods or services. Control is transferred when the customer has the ability to direct the use of and obtain benefits from the goods or services. The majority of the Company’s sales agreements contain performance obligations satisfied at a point in time when control is transferred to the customer.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Teknova’s revenue, disaggregated by product category, was as follows (in thousands):</w:t>
      </w:r>
    </w:p>
    <w:p>
      <w:pPr>
        <w:pStyle w:val="TextBody"/>
        <w:bidi w:val="0"/>
        <w:jc w:val="left"/>
        <w:rPr/>
      </w:pPr>
      <w:r>
        <w:rPr/>
        <w:t> </w:t>
      </w:r>
    </w:p>
    <w:tbl>
      <w:tblPr>
        <w:tblW w:w="7737" w:type="dxa"/>
        <w:jc w:val="left"/>
        <w:tblInd w:w="0" w:type="dxa"/>
        <w:tblLayout w:type="fixed"/>
        <w:tblCellMar>
          <w:top w:w="28" w:type="dxa"/>
          <w:left w:w="28" w:type="dxa"/>
          <w:bottom w:w="28" w:type="dxa"/>
          <w:right w:w="28" w:type="dxa"/>
        </w:tblCellMar>
      </w:tblPr>
      <w:tblGrid>
        <w:gridCol w:w="1606"/>
        <w:gridCol w:w="146"/>
        <w:gridCol w:w="291"/>
        <w:gridCol w:w="932"/>
        <w:gridCol w:w="201"/>
        <w:gridCol w:w="201"/>
        <w:gridCol w:w="291"/>
        <w:gridCol w:w="932"/>
        <w:gridCol w:w="146"/>
        <w:gridCol w:w="146"/>
        <w:gridCol w:w="271"/>
        <w:gridCol w:w="869"/>
        <w:gridCol w:w="187"/>
        <w:gridCol w:w="187"/>
        <w:gridCol w:w="271"/>
        <w:gridCol w:w="869"/>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Essentials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23,262</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Teknova’s revenue, disaggregated by geographic region, was as follows (in thousands):</w:t>
      </w:r>
    </w:p>
    <w:p>
      <w:pPr>
        <w:pStyle w:val="TextBody"/>
        <w:bidi w:val="0"/>
        <w:jc w:val="left"/>
        <w:rPr/>
      </w:pPr>
      <w:r>
        <w:rPr/>
        <w:t> </w:t>
      </w:r>
    </w:p>
    <w:tbl>
      <w:tblPr>
        <w:tblW w:w="7377" w:type="dxa"/>
        <w:jc w:val="left"/>
        <w:tblInd w:w="0" w:type="dxa"/>
        <w:tblLayout w:type="fixed"/>
        <w:tblCellMar>
          <w:top w:w="28" w:type="dxa"/>
          <w:left w:w="28" w:type="dxa"/>
          <w:bottom w:w="28" w:type="dxa"/>
          <w:right w:w="28" w:type="dxa"/>
        </w:tblCellMar>
      </w:tblPr>
      <w:tblGrid>
        <w:gridCol w:w="1246"/>
        <w:gridCol w:w="146"/>
        <w:gridCol w:w="291"/>
        <w:gridCol w:w="932"/>
        <w:gridCol w:w="201"/>
        <w:gridCol w:w="201"/>
        <w:gridCol w:w="291"/>
        <w:gridCol w:w="932"/>
        <w:gridCol w:w="146"/>
        <w:gridCol w:w="146"/>
        <w:gridCol w:w="271"/>
        <w:gridCol w:w="869"/>
        <w:gridCol w:w="187"/>
        <w:gridCol w:w="187"/>
        <w:gridCol w:w="271"/>
        <w:gridCol w:w="869"/>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23,262</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5. Concentrations of Risk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Customers that accounted for 10% or more of the Company’s revenues and outstanding balance of accounts receivable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77"/>
        <w:gridCol w:w="146"/>
        <w:gridCol w:w="1166"/>
        <w:gridCol w:w="353"/>
        <w:gridCol w:w="1166"/>
        <w:gridCol w:w="146"/>
        <w:gridCol w:w="1089"/>
        <w:gridCol w:w="330"/>
        <w:gridCol w:w="1089"/>
        <w:gridCol w:w="146"/>
        <w:gridCol w:w="1063"/>
        <w:gridCol w:w="146"/>
        <w:gridCol w:w="1488"/>
      </w:tblGrid>
      <w:tr>
        <w:trPr/>
        <w:tc>
          <w:tcPr>
            <w:tcW w:w="1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customers that are distributors, as opposed to direct customers, represent highly diversified customer bases.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Suppliers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Suppliers that accounted for 10% or more of the Company’s inventory purchases and outstanding balance of accounts payable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0"/>
        <w:gridCol w:w="146"/>
        <w:gridCol w:w="1175"/>
        <w:gridCol w:w="356"/>
        <w:gridCol w:w="1175"/>
        <w:gridCol w:w="146"/>
        <w:gridCol w:w="1098"/>
        <w:gridCol w:w="332"/>
        <w:gridCol w:w="1098"/>
        <w:gridCol w:w="146"/>
        <w:gridCol w:w="1072"/>
        <w:gridCol w:w="146"/>
        <w:gridCol w:w="1495"/>
      </w:tblGrid>
      <w:tr>
        <w:trPr/>
        <w:tc>
          <w:tcPr>
            <w:tcW w:w="1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supplier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supplier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supplier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 Represents less than 10%.</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suppliers that are distributors, as opposed to direct suppliers, represent highly diversified supplier bases.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Short-term Held-to-Maturity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invests excess cash balances in short-term U.S. Treasuries. Investments are classified based on the facts and circumstances present at the time of purchase. The appropriateness of that classification is subsequently reassessed at each reporting date. As of June 30, 2026, the Company has both the ability and intention to hold these investments until maturity and therefore has classified these investments as held-to-maturity and recorded them at amortized cost which approximates fair value and presented them in “Short-term investments, held-to-maturity” on the Condensed Balance Sheets. The fair value of the Company's short-term investments was based on quoted prices in active markets for these investments (Level 1). The income recognized for these investments was recorded within interest income on the Condensed Statements of Operations.</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7. Inventories,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Inventories consisted of the following (in thousands):</w:t>
      </w:r>
    </w:p>
    <w:p>
      <w:pPr>
        <w:pStyle w:val="TextBody"/>
        <w:bidi w:val="0"/>
        <w:jc w:val="left"/>
        <w:rPr/>
      </w:pPr>
      <w:r>
        <w:rPr/>
        <w:t> </w:t>
      </w:r>
    </w:p>
    <w:tbl>
      <w:tblPr>
        <w:tblW w:w="5515" w:type="dxa"/>
        <w:jc w:val="left"/>
        <w:tblInd w:w="0" w:type="dxa"/>
        <w:tblLayout w:type="fixed"/>
        <w:tblCellMar>
          <w:top w:w="28" w:type="dxa"/>
          <w:left w:w="28" w:type="dxa"/>
          <w:bottom w:w="28" w:type="dxa"/>
          <w:right w:w="28" w:type="dxa"/>
        </w:tblCellMar>
      </w:tblPr>
      <w:tblGrid>
        <w:gridCol w:w="2061"/>
        <w:gridCol w:w="146"/>
        <w:gridCol w:w="303"/>
        <w:gridCol w:w="822"/>
        <w:gridCol w:w="146"/>
        <w:gridCol w:w="146"/>
        <w:gridCol w:w="403"/>
        <w:gridCol w:w="1097"/>
        <w:gridCol w:w="391"/>
      </w:tblGrid>
      <w:tr>
        <w:trPr/>
        <w:tc>
          <w:tcPr>
            <w:tcW w:w="2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8. Property, Plant, and Equipment, Net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Property, plant, and equipment consisted of the following (in thousands):</w:t>
      </w:r>
    </w:p>
    <w:p>
      <w:pPr>
        <w:pStyle w:val="TextBody"/>
        <w:bidi w:val="0"/>
        <w:jc w:val="left"/>
        <w:rPr/>
      </w:pPr>
      <w:r>
        <w:rPr/>
        <w:t> </w:t>
      </w:r>
    </w:p>
    <w:tbl>
      <w:tblPr>
        <w:tblW w:w="7125" w:type="dxa"/>
        <w:jc w:val="left"/>
        <w:tblInd w:w="0" w:type="dxa"/>
        <w:tblLayout w:type="fixed"/>
        <w:tblCellMar>
          <w:top w:w="28" w:type="dxa"/>
          <w:left w:w="28" w:type="dxa"/>
          <w:bottom w:w="28" w:type="dxa"/>
          <w:right w:w="28" w:type="dxa"/>
        </w:tblCellMar>
      </w:tblPr>
      <w:tblGrid>
        <w:gridCol w:w="3651"/>
        <w:gridCol w:w="146"/>
        <w:gridCol w:w="250"/>
        <w:gridCol w:w="875"/>
        <w:gridCol w:w="166"/>
        <w:gridCol w:w="146"/>
        <w:gridCol w:w="334"/>
        <w:gridCol w:w="116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For the three and six months ended June 30, 2026, depreciation expense was $1.3 million and $2.6 million, respectively, and for the three and six months ended June 30, 2025, depreciation expense was $1.3 million and $2.6 million, respectively.</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9. Leases</w:t>
      </w:r>
    </w:p>
    <w:p>
      <w:pPr>
        <w:pStyle w:val="TextBody"/>
        <w:bidi w:val="0"/>
        <w:spacing w:before="200" w:after="283"/>
        <w:jc w:val="left"/>
        <w:rPr>
          <w:rFonts w:ascii="Times New Roman" w:hAnsi="Times New Roman"/>
          <w:sz w:val="20"/>
        </w:rPr>
      </w:pPr>
      <w:r>
        <w:rPr>
          <w:rFonts w:ascii="Times New Roman" w:hAnsi="Times New Roman"/>
          <w:color w:val="231F20"/>
          <w:sz w:val="20"/>
        </w:rPr>
        <w:t>The Company leases office space, warehouse and manufacturing space, and equipment. The Company</w:t>
      </w:r>
      <w:r>
        <w:rPr>
          <w:rFonts w:ascii="Times New Roman" w:hAnsi="Times New Roman"/>
          <w:color w:val="000000"/>
          <w:sz w:val="20"/>
        </w:rPr>
        <w:t>’</w:t>
      </w:r>
      <w:r>
        <w:rPr>
          <w:rFonts w:ascii="Times New Roman" w:hAnsi="Times New Roman"/>
          <w:color w:val="231F20"/>
          <w:sz w:val="20"/>
        </w:rPr>
        <w:t xml:space="preserve">s lease agreements have remaining lease terms of 3 to 11 years, and some of these leases have renewal and termination options exercisable at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231F20"/>
          <w:sz w:val="20"/>
        </w:rPr>
        <w:t>Company’s election. Terms and conditions to extend or terminate such leases are recognized as part of the right-of-use assets and lease liabilities where reasonably certain to be exercised. All of the Company</w:t>
      </w:r>
      <w:r>
        <w:rPr>
          <w:rFonts w:ascii="Times New Roman" w:hAnsi="Times New Roman"/>
          <w:color w:val="000000"/>
          <w:sz w:val="20"/>
        </w:rPr>
        <w:t>’</w:t>
      </w:r>
      <w:r>
        <w:rPr>
          <w:rFonts w:ascii="Times New Roman" w:hAnsi="Times New Roman"/>
          <w:color w:val="231F20"/>
          <w:sz w:val="20"/>
        </w:rPr>
        <w:t xml:space="preserve">s leases are operating leases.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components of lease expense and other information related to leases were as follows (in thousands):</w:t>
        <w:br/>
        <w:t> </w:t>
      </w:r>
    </w:p>
    <w:tbl>
      <w:tblPr>
        <w:tblW w:w="8215" w:type="dxa"/>
        <w:jc w:val="left"/>
        <w:tblInd w:w="0" w:type="dxa"/>
        <w:tblLayout w:type="fixed"/>
        <w:tblCellMar>
          <w:top w:w="28" w:type="dxa"/>
          <w:left w:w="28" w:type="dxa"/>
          <w:bottom w:w="28" w:type="dxa"/>
          <w:right w:w="28" w:type="dxa"/>
        </w:tblCellMar>
      </w:tblPr>
      <w:tblGrid>
        <w:gridCol w:w="2086"/>
        <w:gridCol w:w="146"/>
        <w:gridCol w:w="386"/>
        <w:gridCol w:w="771"/>
        <w:gridCol w:w="267"/>
        <w:gridCol w:w="267"/>
        <w:gridCol w:w="386"/>
        <w:gridCol w:w="771"/>
        <w:gridCol w:w="146"/>
        <w:gridCol w:w="146"/>
        <w:gridCol w:w="301"/>
        <w:gridCol w:w="817"/>
        <w:gridCol w:w="208"/>
        <w:gridCol w:w="208"/>
        <w:gridCol w:w="301"/>
        <w:gridCol w:w="817"/>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Cash paid for amounts included in the measurement of the lease liabilities was $0.6 million and $1.3 million for the three and six months ended June 30, 2026, respectively, and cash paid for amounts included in the measurement of the lease liabilities was $0.6 million and $1.3 million for the three and six months ended June 30, 2025, respectively. The weighted-average discount rate was 5.1% and the weighted-average remaining lease term was 6.8 years as of June 30, 2026.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Maturities of operating lease liabilities at June 30, 2026, were as follows (in thousands):</w:t>
      </w:r>
    </w:p>
    <w:p>
      <w:pPr>
        <w:pStyle w:val="TextBody"/>
        <w:bidi w:val="0"/>
        <w:jc w:val="left"/>
        <w:rPr/>
      </w:pPr>
      <w:r>
        <w:rPr/>
        <w:t> </w:t>
      </w:r>
    </w:p>
    <w:tbl>
      <w:tblPr>
        <w:tblW w:w="4440" w:type="dxa"/>
        <w:jc w:val="left"/>
        <w:tblInd w:w="0" w:type="dxa"/>
        <w:tblLayout w:type="fixed"/>
        <w:tblCellMar>
          <w:top w:w="28" w:type="dxa"/>
          <w:left w:w="28" w:type="dxa"/>
          <w:bottom w:w="28" w:type="dxa"/>
          <w:right w:w="28" w:type="dxa"/>
        </w:tblCellMar>
      </w:tblPr>
      <w:tblGrid>
        <w:gridCol w:w="3016"/>
        <w:gridCol w:w="146"/>
        <w:gridCol w:w="211"/>
        <w:gridCol w:w="676"/>
        <w:gridCol w:w="3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10. Intangible Assets, Net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following is a summary of intangible assets with definite and indefinite lives (in thousands):</w:t>
      </w:r>
    </w:p>
    <w:p>
      <w:pPr>
        <w:pStyle w:val="TextBody"/>
        <w:bidi w:val="0"/>
        <w:jc w:val="left"/>
        <w:rPr/>
      </w:pPr>
      <w:r>
        <w:rPr/>
        <w:t> </w:t>
      </w:r>
    </w:p>
    <w:tbl>
      <w:tblPr>
        <w:tblW w:w="9503" w:type="dxa"/>
        <w:jc w:val="left"/>
        <w:tblInd w:w="0" w:type="dxa"/>
        <w:tblLayout w:type="fixed"/>
        <w:tblCellMar>
          <w:top w:w="28" w:type="dxa"/>
          <w:left w:w="28" w:type="dxa"/>
          <w:bottom w:w="28" w:type="dxa"/>
          <w:right w:w="28" w:type="dxa"/>
        </w:tblCellMar>
      </w:tblPr>
      <w:tblGrid>
        <w:gridCol w:w="1996"/>
        <w:gridCol w:w="146"/>
        <w:gridCol w:w="211"/>
        <w:gridCol w:w="676"/>
        <w:gridCol w:w="146"/>
        <w:gridCol w:w="146"/>
        <w:gridCol w:w="291"/>
        <w:gridCol w:w="790"/>
        <w:gridCol w:w="146"/>
        <w:gridCol w:w="146"/>
        <w:gridCol w:w="211"/>
        <w:gridCol w:w="676"/>
        <w:gridCol w:w="146"/>
        <w:gridCol w:w="146"/>
        <w:gridCol w:w="211"/>
        <w:gridCol w:w="676"/>
        <w:gridCol w:w="146"/>
        <w:gridCol w:w="146"/>
        <w:gridCol w:w="291"/>
        <w:gridCol w:w="790"/>
        <w:gridCol w:w="146"/>
        <w:gridCol w:w="146"/>
        <w:gridCol w:w="211"/>
        <w:gridCol w:w="676"/>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Definite Lived: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 Lived: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For each of the three months ended June 30, 2026 and 2025, amortization expense was $0.3 million and for each of the six months ended June 30, 2026 and 2025, amortization expense was $0.6 million.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As of June 30, 2026, the remaining weighted-average useful life of definite lived intangible assets was 0.5 years. The estimated future amortization expense of intangible assets with definite lives was as follows (in thousands):</w:t>
      </w:r>
    </w:p>
    <w:p>
      <w:pPr>
        <w:pStyle w:val="TextBody"/>
        <w:bidi w:val="0"/>
        <w:jc w:val="left"/>
        <w:rPr/>
      </w:pPr>
      <w:r>
        <w:rPr/>
        <w:t> </w:t>
      </w:r>
    </w:p>
    <w:tbl>
      <w:tblPr>
        <w:tblW w:w="7014" w:type="dxa"/>
        <w:jc w:val="left"/>
        <w:tblInd w:w="0" w:type="dxa"/>
        <w:tblLayout w:type="fixed"/>
        <w:tblCellMar>
          <w:top w:w="28" w:type="dxa"/>
          <w:left w:w="28" w:type="dxa"/>
          <w:bottom w:w="28" w:type="dxa"/>
          <w:right w:w="28" w:type="dxa"/>
        </w:tblCellMar>
      </w:tblPr>
      <w:tblGrid>
        <w:gridCol w:w="5986"/>
        <w:gridCol w:w="146"/>
        <w:gridCol w:w="230"/>
        <w:gridCol w:w="461"/>
        <w:gridCol w:w="191"/>
      </w:tblGrid>
      <w:tr>
        <w:trPr/>
        <w:tc>
          <w:tcPr>
            <w:tcW w:w="5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future amortization expense of definite 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11. Accrued Liabilities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Accrued liabilities were comprised of the following (in thousands):</w:t>
      </w:r>
    </w:p>
    <w:p>
      <w:pPr>
        <w:pStyle w:val="TextBody"/>
        <w:bidi w:val="0"/>
        <w:jc w:val="left"/>
        <w:rPr/>
      </w:pPr>
      <w:r>
        <w:rPr/>
        <w:t> </w:t>
      </w:r>
    </w:p>
    <w:tbl>
      <w:tblPr>
        <w:tblW w:w="6660" w:type="dxa"/>
        <w:jc w:val="left"/>
        <w:tblInd w:w="0" w:type="dxa"/>
        <w:tblLayout w:type="fixed"/>
        <w:tblCellMar>
          <w:top w:w="28" w:type="dxa"/>
          <w:left w:w="28" w:type="dxa"/>
          <w:bottom w:w="28" w:type="dxa"/>
          <w:right w:w="28" w:type="dxa"/>
        </w:tblCellMar>
      </w:tblPr>
      <w:tblGrid>
        <w:gridCol w:w="3406"/>
        <w:gridCol w:w="146"/>
        <w:gridCol w:w="303"/>
        <w:gridCol w:w="822"/>
        <w:gridCol w:w="146"/>
        <w:gridCol w:w="146"/>
        <w:gridCol w:w="403"/>
        <w:gridCol w:w="1097"/>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premiums and 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12. Long-Term Debt, Net</w:t>
      </w:r>
    </w:p>
    <w:p>
      <w:pPr>
        <w:pStyle w:val="TextBody"/>
        <w:bidi w:val="0"/>
        <w:spacing w:before="200" w:after="160"/>
        <w:jc w:val="left"/>
        <w:rPr>
          <w:rFonts w:ascii="Times New Roman" w:hAnsi="Times New Roman"/>
          <w:color w:val="231F20"/>
          <w:sz w:val="20"/>
        </w:rPr>
      </w:pPr>
      <w:r>
        <w:rPr>
          <w:rFonts w:ascii="Times New Roman" w:hAnsi="Times New Roman"/>
          <w:color w:val="231F20"/>
          <w:sz w:val="20"/>
        </w:rPr>
        <w:t>On March 3, 2025, the Company entered into the Second Amended and Restated Credit and Security Agreement (Term Loan) as borrower, with MidCap Financial Trust (MidCap), as agent and lender, and the additional lenders from time to time party thereto (the Second Amended and Restated Term Loan Credit Agreement) and the Second Amended and Restated Credit and Security Agreement (Revolving Loan) as borrower, with MidCap as agent and lender, and the additional lenders from time to time party thereto (the Second Amended and Restated Revolving Loan Credit Agreement, together with the Second Amended and Restated Term Loan Credit Agreement, the Second Amended and Restated Credit Agreement).</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 xml:space="preserve">The Second Amended and Restated Credit Agreement provides for a $28.245 million credit facility consisting of a $23.245 million senior secured term loan (Term Loan) and a $5.0 million working capital facility (Revolver). The Term Loan consists of the $12.135 million balance outstanding under the previous term loan, plus an additional $1.110 million related to the exit fee that would otherwise have been due upon closing of the Second Amended and Restated Term Loan Credit Agreement, as well as an additional tranche of $10.0 million that may become available for use in an acquisition, with MidCap’s consent. The maximum loan amount under the Revolver is $5.0 million, with borrowings limited in accordance with a borrowing base calculation, based solely on eligible accounts receivable. As of June 30, 2026, there were no amounts outstanding under the Revolver, and $3.4 million was available based on borrowing base estimates. </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 xml:space="preserve">The interest on the Term Loan is based on the forward-looking one-month term Secured Overnight Financing Rate adjusted upward by 0.10% (Term SOFR), plus an applicable margin of 6.45%, subject to a Term SOFR floor of 3.75%. If any advance under the Term Loan is prepaid at any time, a prepayment fee is charged based on the amount being prepaid and an applicable percentage amount, such as 4%, 3%, or 1%, based on the date the prepayment is made. Interest on an outstanding balance under the Revolver is payable monthly in arrears at an annual rate of Term SOFR plus an applicable margin of 4.00%, subject to a Term SOFR floor of 3.75%. </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 xml:space="preserve">The Second Amended and Restated Credit Agreement includes minimum net revenue requirements that are measured on a trailing twelve-month basis and a minimum cash requirement throughout the term of the Second Amended and Restated Credit Agreement. The minimum cash requirement is $8.0 million, which includes cash and cash equivalents as well as short-term investments in U.S. Treasuries, under the terms of the Second Amended and Restated Credit Agreement. The Company was in compliance with financial covenants under the terms of the Second Amended and Restated Credit Agreement as of June 30, 2026. </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The maturity date of the Second Amended and Restated Credit Agreement is March 1, 2030, with principal repayments beginning on April 1, 2028. On the date of termination of the Term Loan or the date on which the obligations under the Term Loan become due and payable in full, the Company will pay an exit fee in an amount equal to 5.0% of the total aggregate principal amount of term loans made pursuant to the Second Amended and Restated Term Loan Credit Agreement as of such date. All loans issued under the Second Amended and Restated Credit Agreement are collateralized by certain of the Company’s assets.</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 xml:space="preserve">Long-term debt, net consisted of the following (in thousands): </w:t>
      </w:r>
    </w:p>
    <w:p>
      <w:pPr>
        <w:pStyle w:val="TextBody"/>
        <w:bidi w:val="0"/>
        <w:jc w:val="left"/>
        <w:rPr/>
      </w:pPr>
      <w:r>
        <w:rPr/>
        <w:t> </w:t>
      </w:r>
    </w:p>
    <w:tbl>
      <w:tblPr>
        <w:tblW w:w="7755" w:type="dxa"/>
        <w:jc w:val="left"/>
        <w:tblInd w:w="0" w:type="dxa"/>
        <w:tblLayout w:type="fixed"/>
        <w:tblCellMar>
          <w:top w:w="28" w:type="dxa"/>
          <w:left w:w="28" w:type="dxa"/>
          <w:bottom w:w="28" w:type="dxa"/>
          <w:right w:w="28" w:type="dxa"/>
        </w:tblCellMar>
      </w:tblPr>
      <w:tblGrid>
        <w:gridCol w:w="4261"/>
        <w:gridCol w:w="146"/>
        <w:gridCol w:w="267"/>
        <w:gridCol w:w="858"/>
        <w:gridCol w:w="166"/>
        <w:gridCol w:w="146"/>
        <w:gridCol w:w="357"/>
        <w:gridCol w:w="1143"/>
        <w:gridCol w:w="4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accretion of exit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At June 30, 2026, the scheduled maturities of the Company’s debt obligations were as follows (in thousands):</w:t>
      </w:r>
    </w:p>
    <w:p>
      <w:pPr>
        <w:pStyle w:val="TextBody"/>
        <w:bidi w:val="0"/>
        <w:jc w:val="left"/>
        <w:rPr/>
      </w:pPr>
      <w:r>
        <w:rPr/>
        <w:t> </w:t>
      </w:r>
    </w:p>
    <w:tbl>
      <w:tblPr>
        <w:tblW w:w="2905" w:type="dxa"/>
        <w:jc w:val="left"/>
        <w:tblInd w:w="0" w:type="dxa"/>
        <w:tblLayout w:type="fixed"/>
        <w:tblCellMar>
          <w:top w:w="28" w:type="dxa"/>
          <w:left w:w="28" w:type="dxa"/>
          <w:bottom w:w="28" w:type="dxa"/>
          <w:right w:w="28" w:type="dxa"/>
        </w:tblCellMar>
      </w:tblPr>
      <w:tblGrid>
        <w:gridCol w:w="1681"/>
        <w:gridCol w:w="146"/>
        <w:gridCol w:w="211"/>
        <w:gridCol w:w="67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color w:val="231F20"/>
          <w:sz w:val="20"/>
        </w:rPr>
        <w:t>As of June 30, 2026, the fair value of the Company</w:t>
      </w:r>
      <w:r>
        <w:rPr>
          <w:rFonts w:ascii="Times New Roman" w:hAnsi="Times New Roman"/>
          <w:color w:val="000000"/>
          <w:sz w:val="20"/>
        </w:rPr>
        <w:t>’</w:t>
      </w:r>
      <w:r>
        <w:rPr>
          <w:rFonts w:ascii="Times New Roman" w:hAnsi="Times New Roman"/>
          <w:color w:val="231F20"/>
          <w:sz w:val="20"/>
        </w:rPr>
        <w:t xml:space="preserve">s </w:t>
      </w:r>
      <w:r>
        <w:rPr>
          <w:rFonts w:ascii="Times New Roman" w:hAnsi="Times New Roman"/>
          <w:color w:val="000000"/>
          <w:sz w:val="20"/>
        </w:rPr>
        <w:t xml:space="preserve">long-term </w:t>
      </w:r>
      <w:r>
        <w:rPr>
          <w:rFonts w:ascii="Times New Roman" w:hAnsi="Times New Roman"/>
          <w:color w:val="231F20"/>
          <w:sz w:val="20"/>
        </w:rPr>
        <w:t>debt approximated its carrying value. The fair value of the Company</w:t>
      </w:r>
      <w:r>
        <w:rPr>
          <w:rFonts w:ascii="Times New Roman" w:hAnsi="Times New Roman"/>
          <w:color w:val="000000"/>
          <w:sz w:val="20"/>
        </w:rPr>
        <w:t>’</w:t>
      </w:r>
      <w:r>
        <w:rPr>
          <w:rFonts w:ascii="Times New Roman" w:hAnsi="Times New Roman"/>
          <w:color w:val="231F20"/>
          <w:sz w:val="20"/>
        </w:rPr>
        <w:t xml:space="preserve">s </w:t>
      </w:r>
      <w:r>
        <w:rPr>
          <w:rFonts w:ascii="Times New Roman" w:hAnsi="Times New Roman"/>
          <w:color w:val="000000"/>
          <w:sz w:val="20"/>
        </w:rPr>
        <w:t xml:space="preserve">long-term </w:t>
      </w:r>
      <w:r>
        <w:rPr>
          <w:rFonts w:ascii="Times New Roman" w:hAnsi="Times New Roman"/>
          <w:color w:val="231F20"/>
          <w:sz w:val="20"/>
        </w:rPr>
        <w:t>debt was based on observable market inputs (Level 2).</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13. Stock-Based Compensation</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Equity Incentive Plans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maintains a stock incentive plan that permits the granting of incentive stock options or nonqualified stock options, stock appreciation rights, restricted stock awards, restricted stock unit awards, performance awards, and other stock-based awards. The equity-based awards for employees generally vest over a four-year period. For initial equity-based awards granted to employees, the first vest is generally a one-year cliff vest, followed by monthly vesting for the final three years. Thereafter, annual equity-based awards granted to employees typically vest monthly over the four-year vest term, except for restricted stock units which vest annually over a four-year period. The initial equity-based awards granted to the Company’s non-employee, independent directors upon appointment to the board of directors vest over a three-year period, with the first vest being a one-year cliff, followed by monthly vesting over the remaining two years. Thereafter, annual equity-based awards granted to the Company’s non-employee, independent directors cliff vest after one year from the date of grant.</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Stock Options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following table summarizes stock option activity for the six months ended June 30, 2026 (in thousands, except share and per share data):</w:t>
      </w:r>
    </w:p>
    <w:p>
      <w:pPr>
        <w:pStyle w:val="TextBody"/>
        <w:bidi w:val="0"/>
        <w:jc w:val="left"/>
        <w:rPr/>
      </w:pPr>
      <w:r>
        <w:rPr/>
        <w:t> </w:t>
      </w:r>
    </w:p>
    <w:tbl>
      <w:tblPr>
        <w:tblW w:w="9666" w:type="dxa"/>
        <w:jc w:val="left"/>
        <w:tblInd w:w="0" w:type="dxa"/>
        <w:tblLayout w:type="fixed"/>
        <w:tblCellMar>
          <w:top w:w="28" w:type="dxa"/>
          <w:left w:w="28" w:type="dxa"/>
          <w:bottom w:w="28" w:type="dxa"/>
          <w:right w:w="28" w:type="dxa"/>
        </w:tblCellMar>
      </w:tblPr>
      <w:tblGrid>
        <w:gridCol w:w="3766"/>
        <w:gridCol w:w="146"/>
        <w:gridCol w:w="146"/>
        <w:gridCol w:w="931"/>
        <w:gridCol w:w="166"/>
        <w:gridCol w:w="146"/>
        <w:gridCol w:w="252"/>
        <w:gridCol w:w="558"/>
        <w:gridCol w:w="146"/>
        <w:gridCol w:w="146"/>
        <w:gridCol w:w="346"/>
        <w:gridCol w:w="1109"/>
        <w:gridCol w:w="146"/>
        <w:gridCol w:w="146"/>
        <w:gridCol w:w="267"/>
        <w:gridCol w:w="858"/>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 xml:space="preserve">Value </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weighted average assumptions used in the Black-Scholes pricing model for stock options granted during the three and six months ended June 30, 2026 and 2025,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39"/>
        <w:gridCol w:w="146"/>
        <w:gridCol w:w="296"/>
        <w:gridCol w:w="802"/>
        <w:gridCol w:w="381"/>
        <w:gridCol w:w="205"/>
        <w:gridCol w:w="296"/>
        <w:gridCol w:w="802"/>
        <w:gridCol w:w="271"/>
        <w:gridCol w:w="146"/>
        <w:gridCol w:w="276"/>
        <w:gridCol w:w="750"/>
        <w:gridCol w:w="356"/>
        <w:gridCol w:w="191"/>
        <w:gridCol w:w="276"/>
        <w:gridCol w:w="750"/>
        <w:gridCol w:w="322"/>
      </w:tblGrid>
      <w:tr>
        <w:trPr/>
        <w:tc>
          <w:tcPr>
            <w:tcW w:w="3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expected stock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average term of options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fair value per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Restricted Stock</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following table summarizes restricted stock unit activity for the six months ended June 30, 2026 (in thousands, except share and per share data):</w:t>
      </w:r>
    </w:p>
    <w:p>
      <w:pPr>
        <w:pStyle w:val="TextBody"/>
        <w:bidi w:val="0"/>
        <w:jc w:val="left"/>
        <w:rPr/>
      </w:pPr>
      <w:r>
        <w:rPr/>
        <w:t> </w:t>
      </w:r>
    </w:p>
    <w:tbl>
      <w:tblPr>
        <w:tblW w:w="9654" w:type="dxa"/>
        <w:jc w:val="left"/>
        <w:tblInd w:w="0" w:type="dxa"/>
        <w:tblLayout w:type="fixed"/>
        <w:tblCellMar>
          <w:top w:w="28" w:type="dxa"/>
          <w:left w:w="28" w:type="dxa"/>
          <w:bottom w:w="28" w:type="dxa"/>
          <w:right w:w="28" w:type="dxa"/>
        </w:tblCellMar>
      </w:tblPr>
      <w:tblGrid>
        <w:gridCol w:w="3766"/>
        <w:gridCol w:w="146"/>
        <w:gridCol w:w="146"/>
        <w:gridCol w:w="739"/>
        <w:gridCol w:w="166"/>
        <w:gridCol w:w="146"/>
        <w:gridCol w:w="308"/>
        <w:gridCol w:w="682"/>
        <w:gridCol w:w="146"/>
        <w:gridCol w:w="146"/>
        <w:gridCol w:w="346"/>
        <w:gridCol w:w="1109"/>
        <w:gridCol w:w="146"/>
        <w:gridCol w:w="146"/>
        <w:gridCol w:w="374"/>
        <w:gridCol w:w="751"/>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w:t>
              <w:br/>
              <w:t>Fair Value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Remaining</w:t>
              <w:br/>
              <w:t>Contractual</w:t>
              <w:br/>
              <w:t>Term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 xml:space="preserve">Value </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Employee Stock Purchase Plan</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The Company maintains an employee stock purchase plan (ESPP) that authorizes the issuance of shares of common stock pursuant to purchase rights granted to eligible employees. Unless otherwise determined by the Company’s board of directors, shares of the Company’s common stock will be purchased for the accounts of employees participating in the Company’s ESPP at a price per share equal to the lesser of (i) 85% of the fair market value of a share of the Company’s common stock on the first day of an offering; or (ii) 85% of the fair market value of a share of the Company’s common stock on the date of purchase. </w:t>
      </w:r>
      <w:r>
        <w:rPr>
          <w:rFonts w:ascii="Times New Roman" w:hAnsi="Times New Roman"/>
          <w:color w:val="000000"/>
          <w:sz w:val="20"/>
        </w:rPr>
        <w:t xml:space="preserve">Offering periods are generally six months long; offering periods begin on June 1 and December 1 of each year. The Company issued 13,719 shares of common stock under the ESPP during the three and six months ended June 30, 2026 and 11,518 shares of common stock under the ESPP during the three and six months ended June 30, 2025.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Stock-Based Compensation Expense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Stock-based compensation expense included in the accompanying condensed financial statements was as follows (in thousands):</w:t>
      </w:r>
    </w:p>
    <w:p>
      <w:pPr>
        <w:pStyle w:val="TextBody"/>
        <w:bidi w:val="0"/>
        <w:jc w:val="left"/>
        <w:rPr/>
      </w:pPr>
      <w:r>
        <w:rPr/>
        <w:t> </w:t>
      </w:r>
    </w:p>
    <w:tbl>
      <w:tblPr>
        <w:tblW w:w="9600" w:type="dxa"/>
        <w:jc w:val="left"/>
        <w:tblInd w:w="0" w:type="dxa"/>
        <w:tblLayout w:type="fixed"/>
        <w:tblCellMar>
          <w:top w:w="28" w:type="dxa"/>
          <w:left w:w="28" w:type="dxa"/>
          <w:bottom w:w="28" w:type="dxa"/>
          <w:right w:w="28" w:type="dxa"/>
        </w:tblCellMar>
      </w:tblPr>
      <w:tblGrid>
        <w:gridCol w:w="3451"/>
        <w:gridCol w:w="146"/>
        <w:gridCol w:w="386"/>
        <w:gridCol w:w="771"/>
        <w:gridCol w:w="267"/>
        <w:gridCol w:w="267"/>
        <w:gridCol w:w="386"/>
        <w:gridCol w:w="771"/>
        <w:gridCol w:w="146"/>
        <w:gridCol w:w="146"/>
        <w:gridCol w:w="301"/>
        <w:gridCol w:w="817"/>
        <w:gridCol w:w="208"/>
        <w:gridCol w:w="208"/>
        <w:gridCol w:w="301"/>
        <w:gridCol w:w="817"/>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231F20"/>
          <w:sz w:val="20"/>
        </w:rPr>
      </w:pPr>
      <w:r>
        <w:rPr>
          <w:rFonts w:ascii="Times New Roman" w:hAnsi="Times New Roman"/>
          <w:color w:val="231F20"/>
          <w:sz w:val="20"/>
        </w:rPr>
        <w:t>Stock-based compensation expense related to stock options was $0.6 million and $1.2 million for the three and six months ended June 30, 2026, respectively, and $0.9 million and $1.7 million for the three and six months ended June 30, 2025, respectively. Unrecognized compensation expense related to stock options was $4.6 million at June 30, 2026, which is expected to be recognized as expense over the weighted-average period of 2.76 years.</w:t>
      </w:r>
    </w:p>
    <w:p>
      <w:pPr>
        <w:pStyle w:val="TextBody"/>
        <w:bidi w:val="0"/>
        <w:spacing w:before="200" w:after="283"/>
        <w:jc w:val="left"/>
        <w:rPr>
          <w:rFonts w:ascii="Times New Roman" w:hAnsi="Times New Roman"/>
          <w:sz w:val="20"/>
        </w:rPr>
      </w:pPr>
      <w:r>
        <w:rPr>
          <w:rFonts w:ascii="Times New Roman" w:hAnsi="Times New Roman"/>
          <w:color w:val="231F20"/>
          <w:sz w:val="20"/>
        </w:rPr>
        <w:t>Stock-based compensation expense related to restricted stock units was not significant for each of the three months ended June 30, 2026 and 2025</w:t>
      </w:r>
      <w:r>
        <w:rPr>
          <w:rFonts w:ascii="Times New Roman" w:hAnsi="Times New Roman"/>
          <w:color w:val="000000"/>
          <w:sz w:val="20"/>
        </w:rPr>
        <w:t xml:space="preserve">, and </w:t>
      </w:r>
      <w:r>
        <w:rPr>
          <w:rFonts w:ascii="Times New Roman" w:hAnsi="Times New Roman"/>
          <w:color w:val="231F20"/>
          <w:sz w:val="20"/>
        </w:rPr>
        <w:t>was $0.1 million for each of the six months ended June 30, 2026 and 2025. Unrecognized compensation expense related to restricted stock units was $0.1 million at June 30, 2026, which is expected to be recognized as expense over the weighted-average period of 0.66 years.</w:t>
      </w:r>
    </w:p>
    <w:p>
      <w:pPr>
        <w:pStyle w:val="TextBody"/>
        <w:bidi w:val="0"/>
        <w:spacing w:before="200" w:after="283"/>
        <w:jc w:val="left"/>
        <w:rPr>
          <w:rFonts w:ascii="Times New Roman" w:hAnsi="Times New Roman"/>
          <w:sz w:val="20"/>
        </w:rPr>
      </w:pPr>
      <w:r>
        <w:rPr>
          <w:rFonts w:ascii="Times New Roman" w:hAnsi="Times New Roman"/>
          <w:color w:val="231F20"/>
          <w:sz w:val="20"/>
        </w:rPr>
        <w:t>Stock-based compensation expense related to the ESPP was not significant for either the three and six months ended June 30, 2026 and 2025</w:t>
      </w:r>
      <w:r>
        <w:rPr>
          <w:rFonts w:ascii="Times New Roman" w:hAnsi="Times New Roman"/>
          <w:color w:val="000000"/>
          <w:sz w:val="20"/>
        </w:rPr>
        <w:t>. Total compensation expense related to the ESPP not yet recognized was not significant at June 30, 2026. As of June 30, 2026, an insignificant amount has been withheld on behalf of employees for future purchases under the ESPP.</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14. Income Taxes</w:t>
      </w:r>
    </w:p>
    <w:p>
      <w:pPr>
        <w:pStyle w:val="TextBody"/>
        <w:bidi w:val="0"/>
        <w:spacing w:before="200" w:after="283"/>
        <w:jc w:val="left"/>
        <w:rPr>
          <w:rFonts w:ascii="Times New Roman" w:hAnsi="Times New Roman"/>
          <w:sz w:val="20"/>
        </w:rPr>
      </w:pPr>
      <w:r>
        <w:rPr>
          <w:rFonts w:ascii="Times New Roman" w:hAnsi="Times New Roman"/>
          <w:color w:val="000000"/>
          <w:sz w:val="20"/>
        </w:rPr>
        <w:t>For each of the three months ended June 30, 2026 and 2025, the Company</w:t>
      </w:r>
      <w:r>
        <w:rPr>
          <w:rFonts w:ascii="Times New Roman" w:hAnsi="Times New Roman"/>
          <w:color w:val="231F20"/>
          <w:sz w:val="20"/>
        </w:rPr>
        <w:t>’</w:t>
      </w:r>
      <w:r>
        <w:rPr>
          <w:rFonts w:ascii="Times New Roman" w:hAnsi="Times New Roman"/>
          <w:color w:val="000000"/>
          <w:sz w:val="20"/>
        </w:rPr>
        <w:t>s income tax expense was not significant. The effective tax rates for the three months ended June 30, 2026 and 2025 were (1.0%) and (0.5%), respectively. The effective tax rates differ from the federal statutory rate primarily due to operating losses not expected to produce an income tax benefit.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For the six months ended June 30, 2026, the Company</w:t>
      </w:r>
      <w:r>
        <w:rPr>
          <w:rFonts w:ascii="Times New Roman" w:hAnsi="Times New Roman"/>
          <w:color w:val="231F20"/>
          <w:sz w:val="20"/>
        </w:rPr>
        <w:t>’</w:t>
      </w:r>
      <w:r>
        <w:rPr>
          <w:rFonts w:ascii="Times New Roman" w:hAnsi="Times New Roman"/>
          <w:color w:val="000000"/>
          <w:sz w:val="20"/>
        </w:rPr>
        <w:t>s income tax expense was $0.1 million and for the six months ended June 30, 2025 the Company's income tax expense was not significant. The effective tax rates for the six months ended June 30, 2026 and 2025 were (1.0)% and (0.5)%, respectively. The effective tax rates differ from the federal statutory rate primarily due to operating losses not expected to produce an income tax benefit.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had insignificant unrecognized tax benefits as of June 30, 2026 and 2025. The Company recognizes interest and penalties accrued on any unrecognized tax benefits as a component of income tax expense. The Company does not expect the balance of unrecognized tax benefits to change significantly over the next twelve months. The Company had not accrued interest or penalties related to uncertain tax positions as of June 30, 2026 or 2025. The Company was previously under examination by the Internal Revenue Service for the 2023 tax year. That examination has been closed with no change to the tax reported by the Company. The Company is not currently under examination by any taxing authorities or for any taxable years.</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15. Net Loss Per Share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Basic net loss per share is computed by dividing net loss by the weighted-average number of shares of common stock outstanding during the period. Diluted net loss per share is computed by giving effect to all potentially dilutive common stock equivalents to the extent they are dilutive. For purposes of this calculation, stock options, restricted stock units, and employee stock purchase rights, are considered to be common stock equivalents but have been excluded from the calculation of diluted net loss per share as their effect is anti-dilutive for all periods presented.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following table sets forth the computation of basic and diluted net loss per share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02"/>
        <w:gridCol w:w="146"/>
        <w:gridCol w:w="212"/>
        <w:gridCol w:w="1044"/>
        <w:gridCol w:w="167"/>
        <w:gridCol w:w="147"/>
        <w:gridCol w:w="212"/>
        <w:gridCol w:w="1044"/>
        <w:gridCol w:w="166"/>
        <w:gridCol w:w="146"/>
        <w:gridCol w:w="211"/>
        <w:gridCol w:w="1036"/>
        <w:gridCol w:w="166"/>
        <w:gridCol w:w="146"/>
        <w:gridCol w:w="211"/>
        <w:gridCol w:w="1036"/>
        <w:gridCol w:w="213"/>
      </w:tblGrid>
      <w:tr>
        <w:trPr/>
        <w:tc>
          <w:tcPr>
            <w:tcW w:w="3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53,634,826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53,448,736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53,614,671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53,435,210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sz w:val="20"/>
        </w:rPr>
      </w:pPr>
      <w:r>
        <w:rPr>
          <w:rFonts w:ascii="Times New Roman" w:hAnsi="Times New Roman"/>
          <w:color w:val="000000"/>
          <w:sz w:val="20"/>
        </w:rPr>
        <w:t>Th</w:t>
      </w:r>
      <w:r>
        <w:rPr>
          <w:rFonts w:ascii="Times New Roman" w:hAnsi="Times New Roman"/>
          <w:color w:val="231F20"/>
          <w:sz w:val="20"/>
        </w:rPr>
        <w:t>e following is a summary of the common stock equivalents for the securities outstanding during the respective periods that have been excluded from the computation of diluted net loss per common share, as their effect would be anti-dilutive:</w:t>
      </w:r>
    </w:p>
    <w:p>
      <w:pPr>
        <w:pStyle w:val="TextBody"/>
        <w:bidi w:val="0"/>
        <w:jc w:val="left"/>
        <w:rPr/>
      </w:pPr>
      <w:r>
        <w:rPr/>
        <w:t> </w:t>
      </w:r>
    </w:p>
    <w:tbl>
      <w:tblPr>
        <w:tblW w:w="8517" w:type="dxa"/>
        <w:jc w:val="left"/>
        <w:tblInd w:w="0" w:type="dxa"/>
        <w:tblLayout w:type="fixed"/>
        <w:tblCellMar>
          <w:top w:w="28" w:type="dxa"/>
          <w:left w:w="28" w:type="dxa"/>
          <w:bottom w:w="28" w:type="dxa"/>
          <w:right w:w="28" w:type="dxa"/>
        </w:tblCellMar>
      </w:tblPr>
      <w:tblGrid>
        <w:gridCol w:w="2386"/>
        <w:gridCol w:w="146"/>
        <w:gridCol w:w="170"/>
        <w:gridCol w:w="1085"/>
        <w:gridCol w:w="170"/>
        <w:gridCol w:w="170"/>
        <w:gridCol w:w="170"/>
        <w:gridCol w:w="1085"/>
        <w:gridCol w:w="146"/>
        <w:gridCol w:w="146"/>
        <w:gridCol w:w="158"/>
        <w:gridCol w:w="1010"/>
        <w:gridCol w:w="158"/>
        <w:gridCol w:w="158"/>
        <w:gridCol w:w="158"/>
        <w:gridCol w:w="1010"/>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6,141,585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5,877,004</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4,714,740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16. Related Parties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Telegraph Hill Partners Management Company LLC, through its affiliated investment funds (collectively, THP), is the Company’s controlling stockholder. Entities under common control of THP are considered related parties. The Company sells products to certain entities affiliated with THP.</w:t>
      </w:r>
    </w:p>
    <w:p>
      <w:pPr>
        <w:pStyle w:val="TextBody"/>
        <w:bidi w:val="0"/>
        <w:spacing w:before="200" w:after="283"/>
        <w:jc w:val="left"/>
        <w:rPr>
          <w:rFonts w:ascii="Times New Roman" w:hAnsi="Times New Roman"/>
          <w:sz w:val="20"/>
        </w:rPr>
      </w:pPr>
      <w:r>
        <w:rPr>
          <w:rFonts w:ascii="Times New Roman" w:hAnsi="Times New Roman"/>
          <w:color w:val="231F20"/>
          <w:sz w:val="20"/>
        </w:rPr>
        <w:t>For the three and six months ended June 30, 2026, the Company recognized revenue from THP-affiliated entities of $0.2 million and $0.3 million, respectively. For the three and six months ended June 30, 2025, such revenue was not significant. Accounts receivable from THP-affiliated entities was $0.2 million and not significant as of June 30, 2026 and December 31, 2025, respectively.</w:t>
      </w:r>
      <w:r>
        <w:rPr>
          <w:rFonts w:ascii="Times New Roman" w:hAnsi="Times New Roman"/>
          <w:color w:val="000000"/>
          <w:sz w:val="20"/>
        </w:rPr>
        <w:br/>
        <w:t> </w:t>
      </w:r>
    </w:p>
    <w:p>
      <w:pPr>
        <w:pStyle w:val="TextBody"/>
        <w:bidi w:val="0"/>
        <w:jc w:val="left"/>
        <w:rPr>
          <w:rFonts w:ascii="Times New Roman" w:hAnsi="Times New Roman"/>
          <w:b/>
          <w:color w:val="231F20"/>
          <w:sz w:val="20"/>
        </w:rPr>
      </w:pPr>
      <w:r>
        <w:rPr>
          <w:rFonts w:ascii="Times New Roman" w:hAnsi="Times New Roman"/>
          <w:b/>
          <w:color w:val="231F20"/>
          <w:sz w:val="20"/>
        </w:rPr>
        <w:t>Note 17. Subsequent Events</w:t>
      </w:r>
    </w:p>
    <w:p>
      <w:pPr>
        <w:pStyle w:val="TextBody"/>
        <w:bidi w:val="0"/>
        <w:spacing w:before="200" w:after="240"/>
        <w:jc w:val="left"/>
        <w:rPr>
          <w:rFonts w:ascii="Times New Roman" w:hAnsi="Times New Roman"/>
          <w:color w:val="231F20"/>
          <w:sz w:val="20"/>
        </w:rPr>
      </w:pPr>
      <w:r>
        <w:rPr>
          <w:rFonts w:ascii="Times New Roman" w:hAnsi="Times New Roman"/>
          <w:color w:val="231F20"/>
          <w:sz w:val="20"/>
        </w:rPr>
        <w:t>On July 29, 2026, the Company entered into a financing agreement with AFCO Acceptance Corporation for the financing of the Company’s director and officer liability insurance and related policies. Under the terms of the financing agreement, the Company will pay a total of $0.5 million in premiums, taxes, and fees, plus interest at an annual percentage rate of 6.8% in eleven monthly separate installment payments commencing on August 1,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_item2"/>
      <w:bookmarkEnd w:id="9"/>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financial statements and related notes thereto included in Part I, Item 1. of this Quarterly Report on Form 10-Q and with our audited financial statements and related notes thereto for the year ended December 31, 2025, included in the 2025 Annual Report on Form 10-K (the 2025 Annual Report on Form 10-K) filed on March 2, 2026, with the Securities and Exchange Commission (SEC). For a discussion of factors that could cause actual results to differ materially from the results described in or implied by the forward-looking statements contained in the following discussion and analysis and elsewhere in this Quarterly Report on Form 10-Q, you should review the risk factors identified in Part I, Item 1A, Risk Factors, of our 2025 Annual Report on Form 10-K and in Item 1A, Risk Factors, of this Quarterly Report on Form 10-Q.</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As in Item 1. of this Quarterly Report on Form 10-Q, in this Item 2, unless the context otherwise requires, the terms “Teknova,” the “Company,” “we,” “us,” and “our” refer to Alpha Teknova, Inc.</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Since our founding in 1996, we have been producing critical reagents for the discovery, development, and commercialization of novel therapies, vaccines, and molecular diagnostics. Our approximately 3,000 customers span the entire continuum of the life sciences market, including leading pharmaceutical and biotechnology companies, contract development and manufacturing organizations, in vitro diagnostic franchises, and academic and government research institutions. Our Company is built around our knowledge, methods, and know-how in our proprietary manufacturing processes, which are highly adaptable and configurable. These proprietary processes enable us to manufacture and deliver high-quality, custom, made-to-order products with short turnaround times and at scale, across all stages of our customers’ product development, from early research through commercialization.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two primary product categories: (i) Lab Essentials, and (ii) Clinical Solutions. Our products cross all stages of development, from early research through commercialization. We offer three primary product types: (i) pre-poured media plates for cell growth and cloning; (ii) liquid microbial culture media and supplements for cellular expansion; and (iii) molecular biology reagents for sample manipulation, resuspension, and purification. Our liquid microbial culture media and supplements and molecular biology reagents are available in both of our two primary product categories; pre-poured media plates are available in our Lab Essentials category only.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ISO 13485:2016 certified, enabling us to manufacture products for use in diagnostic and therapeutic applications. Our certification allows us to offer solutions across the entire customer product development workflow, supporting our customers’ need for materials in greater volume and that meet increasingly stringent quality requirements as they scale from research to commercialization.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manufacture our products at our Hollister, California headquarters and stock inventory of raw materials, components, and finished goods at that campus. We rely on a limited number of suppliers for certain raw materials, and we have no long-term supply arrangements with our suppliers, as we order on a purchase order basis. We ship our products directly from our warehouse in Hollister, California, to our customers and distributors, generally pursuant to purchase orders. We typically recognize revenue when products are shipped.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generated revenue of $12.2 million during the three months ended June 30, 2026, which represented an increase of $1.9 million compared to revenue of $10.3 million during the three months ended June 30, 2025. For the three months ended June 30, 2026 and 2025, only 4.3% and 5.0%, respectively, of our revenue was generated from customers located outside of the United States. We generated revenue of $23.3 million during the six months ended June 30, 2026, which represents an increase of $3.2 million compared to revenue of $20.1 million during the six months ended June 30, 2025. For the six months ended June 30, 2026 and 2025, only 4.5% and 5.1%, respectively, of our revenue was generated from customers located outside of the United States. Our sales outside of the United States are denominated in U.S. Dollars. We primarily generate sales through direct channels and a small salesforce, supported by an established network of distributors.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had an operating loss of $2.9 million during the three months ended June 30, 2026, compared to an operating loss of $3.4 million during the three months ended June 30, 2025. We had an operating loss of $7.2 million during the six months ended June 30, 2026, compared to an operating loss of $8.4 million during the six months ended June 30, 2025. While our expenses may fluctuate over the short term, we expect our expenses will increase in future periods, but at a slower rate, in connection with our ongoing activities as we:</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 in processes and infrastructure to improve operating efficiency and expand capacity at our facilities, including the ramp up of our new warehouse and distribution facility;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our brand awareness and market presence through targeted marketing initiatives, strategic partnerships, and expanded sales efforts;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investment in selling and marketing activities to drive customer acquisition, strengthen channel relationships, and support revenue growth across existing and new markets.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Impact of Broader Economic Trends on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continue to closely monitor economic uncertainty in the U.S. and abroad. General inflation in the U.S. rose in recent years to levels not experienced in recent decades. While the rate of inflation has moderated in recent years, general inflation, including rising prices for our raw materials and other inputs, tariffs, as well as rising salaries and other expenses, can negatively impact our business by increasing our cost of sales and operating expenses. Inflation, together with uncertainty regarding future interest rate changes, and broader macroeconomic uncertainty, may cause our customers to reduce, delay, or cancel orders for our goods and services, thereby causing a decrease in or change in the timing of sales of our products and services. We cannot predict the impact of future inflation and interest rate changes on the results of our operations. Furthermore, changes to tariff and related international trade policy that began in 2025 have created uncertainty about the broader economy and our business. For further information regarding the impact of these economic factors on the Company, please see the risk factors identified in Part I, Item 1A, Risk Factors, of our 2025 Annual Report on Form 10-K.</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Three Months Ended June 30,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tables set forth our results of operations for the three months ended June 30, 2026 and 2025 (dollars in thousands):</w:t>
      </w:r>
    </w:p>
    <w:p>
      <w:pPr>
        <w:pStyle w:val="TextBody"/>
        <w:bidi w:val="0"/>
        <w:jc w:val="left"/>
        <w:rPr/>
      </w:pPr>
      <w:r>
        <w:rPr/>
        <w:t> </w:t>
      </w:r>
    </w:p>
    <w:tbl>
      <w:tblPr>
        <w:tblW w:w="9311" w:type="dxa"/>
        <w:jc w:val="left"/>
        <w:tblInd w:w="0" w:type="dxa"/>
        <w:tblLayout w:type="fixed"/>
        <w:tblCellMar>
          <w:top w:w="28" w:type="dxa"/>
          <w:left w:w="28" w:type="dxa"/>
          <w:bottom w:w="28" w:type="dxa"/>
          <w:right w:w="28" w:type="dxa"/>
        </w:tblCellMar>
      </w:tblPr>
      <w:tblGrid>
        <w:gridCol w:w="3311"/>
        <w:gridCol w:w="146"/>
        <w:gridCol w:w="288"/>
        <w:gridCol w:w="923"/>
        <w:gridCol w:w="226"/>
        <w:gridCol w:w="199"/>
        <w:gridCol w:w="288"/>
        <w:gridCol w:w="923"/>
        <w:gridCol w:w="166"/>
        <w:gridCol w:w="146"/>
        <w:gridCol w:w="214"/>
        <w:gridCol w:w="582"/>
        <w:gridCol w:w="166"/>
        <w:gridCol w:w="146"/>
        <w:gridCol w:w="177"/>
        <w:gridCol w:w="694"/>
        <w:gridCol w:w="716"/>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7,775</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revenue disaggregated by product category for the three months ended June 30, 2026 and 2025, was as follows (dollars in thousands):</w:t>
      </w:r>
    </w:p>
    <w:p>
      <w:pPr>
        <w:pStyle w:val="TextBody"/>
        <w:bidi w:val="0"/>
        <w:jc w:val="left"/>
        <w:rPr/>
      </w:pPr>
      <w:r>
        <w:rPr/>
        <w:t> </w:t>
      </w:r>
    </w:p>
    <w:tbl>
      <w:tblPr>
        <w:tblW w:w="7167" w:type="dxa"/>
        <w:jc w:val="left"/>
        <w:tblInd w:w="0" w:type="dxa"/>
        <w:tblLayout w:type="fixed"/>
        <w:tblCellMar>
          <w:top w:w="28" w:type="dxa"/>
          <w:left w:w="28" w:type="dxa"/>
          <w:bottom w:w="28" w:type="dxa"/>
          <w:right w:w="28" w:type="dxa"/>
        </w:tblCellMar>
      </w:tblPr>
      <w:tblGrid>
        <w:gridCol w:w="1606"/>
        <w:gridCol w:w="146"/>
        <w:gridCol w:w="291"/>
        <w:gridCol w:w="932"/>
        <w:gridCol w:w="201"/>
        <w:gridCol w:w="201"/>
        <w:gridCol w:w="291"/>
        <w:gridCol w:w="932"/>
        <w:gridCol w:w="146"/>
        <w:gridCol w:w="146"/>
        <w:gridCol w:w="214"/>
        <w:gridCol w:w="582"/>
        <w:gridCol w:w="146"/>
        <w:gridCol w:w="146"/>
        <w:gridCol w:w="207"/>
        <w:gridCol w:w="664"/>
        <w:gridCol w:w="31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Essentials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revenue was $12.2 million and $10.3 million for the three months ended June 30, 2026 and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Lab Essentials revenue was $9.2 million for the three months ended June 30, 2026, an increase of $1.4 million, or 17.9%, compared to $7.8 million for the three months ended June 30, 2025. The increase in Lab Essentials revenue was attributable to higher average revenue per customer and, to a slightly lesser extent, an increased number of customers.</w:t>
      </w:r>
    </w:p>
    <w:p>
      <w:pPr>
        <w:pStyle w:val="TextBody"/>
        <w:bidi w:val="0"/>
        <w:spacing w:before="200" w:after="283"/>
        <w:jc w:val="left"/>
        <w:rPr>
          <w:rFonts w:ascii="Times New Roman" w:hAnsi="Times New Roman"/>
          <w:sz w:val="20"/>
        </w:rPr>
      </w:pPr>
      <w:r>
        <w:rPr>
          <w:rFonts w:ascii="Times New Roman" w:hAnsi="Times New Roman"/>
          <w:color w:val="000000"/>
          <w:sz w:val="20"/>
        </w:rPr>
        <w:t>Clinical Solutions revenue was $2.4 million for the three months ended June 30, 2026, an increase of $0</w:t>
      </w:r>
      <w:r>
        <w:rPr>
          <w:rFonts w:ascii="Times New Roman" w:hAnsi="Times New Roman"/>
          <w:color w:val="231F20"/>
          <w:sz w:val="20"/>
        </w:rPr>
        <w:t>.4</w:t>
      </w:r>
      <w:r>
        <w:rPr>
          <w:rFonts w:ascii="Times New Roman" w:hAnsi="Times New Roman"/>
          <w:color w:val="000000"/>
          <w:sz w:val="20"/>
        </w:rPr>
        <w:t xml:space="preserve"> million, or 17</w:t>
      </w:r>
      <w:r>
        <w:rPr>
          <w:rFonts w:ascii="Times New Roman" w:hAnsi="Times New Roman"/>
          <w:color w:val="231F20"/>
          <w:sz w:val="20"/>
        </w:rPr>
        <w:t>.9</w:t>
      </w:r>
      <w:r>
        <w:rPr>
          <w:rFonts w:ascii="Times New Roman" w:hAnsi="Times New Roman"/>
          <w:color w:val="000000"/>
          <w:sz w:val="20"/>
        </w:rPr>
        <w:t>%, compared to $2.1 million for the three months ended June 30, 2025. The increase in Clinical Solutions revenue was attributable to an increased number of customers, partially offset by lower average revenue per customer.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revenue disaggregated by geographic region, for the three months ended June 30, 2026 and 2025, was as follows (dollars in thousands):</w:t>
      </w:r>
    </w:p>
    <w:p>
      <w:pPr>
        <w:pStyle w:val="TextBody"/>
        <w:bidi w:val="0"/>
        <w:jc w:val="left"/>
        <w:rPr/>
      </w:pPr>
      <w:r>
        <w:rPr/>
        <w:t> </w:t>
      </w:r>
    </w:p>
    <w:tbl>
      <w:tblPr>
        <w:tblW w:w="6807" w:type="dxa"/>
        <w:jc w:val="left"/>
        <w:tblInd w:w="0" w:type="dxa"/>
        <w:tblLayout w:type="fixed"/>
        <w:tblCellMar>
          <w:top w:w="28" w:type="dxa"/>
          <w:left w:w="28" w:type="dxa"/>
          <w:bottom w:w="28" w:type="dxa"/>
          <w:right w:w="28" w:type="dxa"/>
        </w:tblCellMar>
      </w:tblPr>
      <w:tblGrid>
        <w:gridCol w:w="1246"/>
        <w:gridCol w:w="146"/>
        <w:gridCol w:w="291"/>
        <w:gridCol w:w="932"/>
        <w:gridCol w:w="201"/>
        <w:gridCol w:w="201"/>
        <w:gridCol w:w="291"/>
        <w:gridCol w:w="932"/>
        <w:gridCol w:w="146"/>
        <w:gridCol w:w="146"/>
        <w:gridCol w:w="214"/>
        <w:gridCol w:w="582"/>
        <w:gridCol w:w="146"/>
        <w:gridCol w:w="146"/>
        <w:gridCol w:w="207"/>
        <w:gridCol w:w="664"/>
        <w:gridCol w:w="316"/>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from U.S. sales was $11.7 million and $9.8 million for the three months ended June 30, 2026 and 2025, respectively. Revenue from U.S. sales as a percentage of our total revenue was consistent period over period, representing 95.7% and 95.0% of our total revenue during the three months ended June 30, 2026 and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from international sales was $0.5 million for each of the three months ended June 30, 2026 and 2025. Revenue from international sales as a percentage of our total revenue was also consistent period over period, representing 4.3% and 5.0% of our total revenue during the three months ended June 30, 2026 and 2025, respectively.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gross profit for the three months ended June 30, 2026 and 2025, was as follows (dollars in thousands):</w:t>
      </w:r>
    </w:p>
    <w:p>
      <w:pPr>
        <w:pStyle w:val="TextBody"/>
        <w:bidi w:val="0"/>
        <w:jc w:val="left"/>
        <w:rPr/>
      </w:pPr>
      <w:r>
        <w:rPr/>
        <w:t> </w:t>
      </w:r>
    </w:p>
    <w:tbl>
      <w:tblPr>
        <w:tblW w:w="6962" w:type="dxa"/>
        <w:jc w:val="left"/>
        <w:tblInd w:w="0" w:type="dxa"/>
        <w:tblLayout w:type="fixed"/>
        <w:tblCellMar>
          <w:top w:w="28" w:type="dxa"/>
          <w:left w:w="28" w:type="dxa"/>
          <w:bottom w:w="28" w:type="dxa"/>
          <w:right w:w="28" w:type="dxa"/>
        </w:tblCellMar>
      </w:tblPr>
      <w:tblGrid>
        <w:gridCol w:w="1276"/>
        <w:gridCol w:w="146"/>
        <w:gridCol w:w="303"/>
        <w:gridCol w:w="821"/>
        <w:gridCol w:w="390"/>
        <w:gridCol w:w="210"/>
        <w:gridCol w:w="303"/>
        <w:gridCol w:w="821"/>
        <w:gridCol w:w="271"/>
        <w:gridCol w:w="146"/>
        <w:gridCol w:w="265"/>
        <w:gridCol w:w="531"/>
        <w:gridCol w:w="146"/>
        <w:gridCol w:w="146"/>
        <w:gridCol w:w="207"/>
        <w:gridCol w:w="664"/>
        <w:gridCol w:w="316"/>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Gross profit percentage was 40.1% and 38.7% for the three months ended June 30, 2026 and 2025, respectively. The increase in gross profit percentage was primarily driven by higher revenue, partially offset by higher fixed cost absorption into cost of goods sold from faster finished goods inventory turns. This compares to the same period in the prior year that had benefited from unusually favorable manufacturing efficiency gains.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operating expenses for the three months ended June 30, 2026 and 2025, were as follows (dollars in thousands):</w:t>
      </w:r>
    </w:p>
    <w:p>
      <w:pPr>
        <w:pStyle w:val="TextBody"/>
        <w:bidi w:val="0"/>
        <w:jc w:val="left"/>
        <w:rPr/>
      </w:pPr>
      <w:r>
        <w:rPr/>
        <w:t> </w:t>
      </w:r>
    </w:p>
    <w:tbl>
      <w:tblPr>
        <w:tblW w:w="8449" w:type="dxa"/>
        <w:jc w:val="left"/>
        <w:tblInd w:w="0" w:type="dxa"/>
        <w:tblLayout w:type="fixed"/>
        <w:tblCellMar>
          <w:top w:w="28" w:type="dxa"/>
          <w:left w:w="28" w:type="dxa"/>
          <w:bottom w:w="28" w:type="dxa"/>
          <w:right w:w="28" w:type="dxa"/>
        </w:tblCellMar>
      </w:tblPr>
      <w:tblGrid>
        <w:gridCol w:w="2806"/>
        <w:gridCol w:w="146"/>
        <w:gridCol w:w="324"/>
        <w:gridCol w:w="877"/>
        <w:gridCol w:w="224"/>
        <w:gridCol w:w="224"/>
        <w:gridCol w:w="324"/>
        <w:gridCol w:w="877"/>
        <w:gridCol w:w="146"/>
        <w:gridCol w:w="146"/>
        <w:gridCol w:w="242"/>
        <w:gridCol w:w="554"/>
        <w:gridCol w:w="166"/>
        <w:gridCol w:w="146"/>
        <w:gridCol w:w="207"/>
        <w:gridCol w:w="664"/>
        <w:gridCol w:w="37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7,775</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were consistent at $0.6 million for each of the three months ended June 30, 2026 and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Sales and marketing expenses were $2.1 million and $1.6 million for the three months ended June 30, 2026 and 2025, respectively. The increase was primarily driven by higher headcount and increased marketing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were $4.8 million and $4.9 million for the three months ended June 30, 2026 and 2025, respectively. The decrease was primarily driven by lower stock-based compensation expense, partially offset by increased professional fees.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Amortization of intangible assets was consistent at $0.3 million for each of the three months ended June 30, 2026 and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expenses,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other expenses, net for the three months ended June 30, 2026 and 2025, were as follows (dollars in thousands):</w:t>
      </w:r>
    </w:p>
    <w:p>
      <w:pPr>
        <w:pStyle w:val="TextBody"/>
        <w:bidi w:val="0"/>
        <w:jc w:val="left"/>
        <w:rPr/>
      </w:pPr>
      <w:r>
        <w:rPr/>
        <w:t> </w:t>
      </w:r>
    </w:p>
    <w:tbl>
      <w:tblPr>
        <w:tblW w:w="7747" w:type="dxa"/>
        <w:jc w:val="left"/>
        <w:tblInd w:w="0" w:type="dxa"/>
        <w:tblLayout w:type="fixed"/>
        <w:tblCellMar>
          <w:top w:w="28" w:type="dxa"/>
          <w:left w:w="28" w:type="dxa"/>
          <w:bottom w:w="28" w:type="dxa"/>
          <w:right w:w="28" w:type="dxa"/>
        </w:tblCellMar>
      </w:tblPr>
      <w:tblGrid>
        <w:gridCol w:w="2146"/>
        <w:gridCol w:w="146"/>
        <w:gridCol w:w="354"/>
        <w:gridCol w:w="808"/>
        <w:gridCol w:w="279"/>
        <w:gridCol w:w="245"/>
        <w:gridCol w:w="354"/>
        <w:gridCol w:w="808"/>
        <w:gridCol w:w="166"/>
        <w:gridCol w:w="146"/>
        <w:gridCol w:w="286"/>
        <w:gridCol w:w="510"/>
        <w:gridCol w:w="166"/>
        <w:gridCol w:w="146"/>
        <w:gridCol w:w="177"/>
        <w:gridCol w:w="694"/>
        <w:gridCol w:w="31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other expenses, net was $0.3 million for the three months ended June 30, 2026, compared to $0.2 million for the three months ended June 30, 2025. The increase in total other expenses, net was primarily attributable to lower interest income.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provision for income taxes for the three months ended June 30, 2026 and 2025, was as follows (dollars in thousands):</w:t>
      </w:r>
    </w:p>
    <w:p>
      <w:pPr>
        <w:pStyle w:val="TextBody"/>
        <w:bidi w:val="0"/>
        <w:spacing w:before="10" w:after="283"/>
        <w:jc w:val="left"/>
        <w:rPr/>
      </w:pPr>
      <w:r>
        <w:rPr/>
        <w:t> </w:t>
      </w:r>
    </w:p>
    <w:tbl>
      <w:tblPr>
        <w:tblW w:w="8028" w:type="dxa"/>
        <w:jc w:val="left"/>
        <w:tblInd w:w="0" w:type="dxa"/>
        <w:tblLayout w:type="fixed"/>
        <w:tblCellMar>
          <w:top w:w="28" w:type="dxa"/>
          <w:left w:w="28" w:type="dxa"/>
          <w:bottom w:w="28" w:type="dxa"/>
          <w:right w:w="28" w:type="dxa"/>
        </w:tblCellMar>
      </w:tblPr>
      <w:tblGrid>
        <w:gridCol w:w="2281"/>
        <w:gridCol w:w="146"/>
        <w:gridCol w:w="345"/>
        <w:gridCol w:w="689"/>
        <w:gridCol w:w="542"/>
        <w:gridCol w:w="239"/>
        <w:gridCol w:w="345"/>
        <w:gridCol w:w="689"/>
        <w:gridCol w:w="331"/>
        <w:gridCol w:w="146"/>
        <w:gridCol w:w="318"/>
        <w:gridCol w:w="478"/>
        <w:gridCol w:w="146"/>
        <w:gridCol w:w="146"/>
        <w:gridCol w:w="207"/>
        <w:gridCol w:w="664"/>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income tax expenses were not significant for either the three months ended June 30, 2026 or 2025. The effective tax rates for the three months ended June 30, 2026 and 2025 were (1.0%) and (0.5)%, respectively. The effective tax rates differ from the federal statutory rate primarily due to operating losses not expected to produce an income tax benefit.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Six Months Ended June 30,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tables set forth our results of operations for the six months ended June 30, 2026 and 2025 (dollars in thousands):</w:t>
      </w:r>
    </w:p>
    <w:p>
      <w:pPr>
        <w:pStyle w:val="TextBody"/>
        <w:bidi w:val="0"/>
        <w:jc w:val="left"/>
        <w:rPr/>
      </w:pPr>
      <w:r>
        <w:rPr/>
        <w:t> </w:t>
      </w:r>
    </w:p>
    <w:tbl>
      <w:tblPr>
        <w:tblW w:w="9116" w:type="dxa"/>
        <w:jc w:val="left"/>
        <w:tblInd w:w="0" w:type="dxa"/>
        <w:tblLayout w:type="fixed"/>
        <w:tblCellMar>
          <w:top w:w="28" w:type="dxa"/>
          <w:left w:w="28" w:type="dxa"/>
          <w:bottom w:w="28" w:type="dxa"/>
          <w:right w:w="28" w:type="dxa"/>
        </w:tblCellMar>
      </w:tblPr>
      <w:tblGrid>
        <w:gridCol w:w="3311"/>
        <w:gridCol w:w="146"/>
        <w:gridCol w:w="268"/>
        <w:gridCol w:w="860"/>
        <w:gridCol w:w="211"/>
        <w:gridCol w:w="185"/>
        <w:gridCol w:w="268"/>
        <w:gridCol w:w="860"/>
        <w:gridCol w:w="166"/>
        <w:gridCol w:w="146"/>
        <w:gridCol w:w="214"/>
        <w:gridCol w:w="582"/>
        <w:gridCol w:w="166"/>
        <w:gridCol w:w="146"/>
        <w:gridCol w:w="163"/>
        <w:gridCol w:w="708"/>
        <w:gridCol w:w="716"/>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adjustment to loan exit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revenue disaggregated by product category for the six months ended June 30, 2026 and 2025, was as follows (dollars in thousands):</w:t>
      </w:r>
    </w:p>
    <w:p>
      <w:pPr>
        <w:pStyle w:val="TextBody"/>
        <w:bidi w:val="0"/>
        <w:jc w:val="left"/>
        <w:rPr/>
      </w:pPr>
      <w:r>
        <w:rPr/>
        <w:t> </w:t>
      </w:r>
    </w:p>
    <w:tbl>
      <w:tblPr>
        <w:tblW w:w="6973" w:type="dxa"/>
        <w:jc w:val="left"/>
        <w:tblInd w:w="0" w:type="dxa"/>
        <w:tblLayout w:type="fixed"/>
        <w:tblCellMar>
          <w:top w:w="28" w:type="dxa"/>
          <w:left w:w="28" w:type="dxa"/>
          <w:bottom w:w="28" w:type="dxa"/>
          <w:right w:w="28" w:type="dxa"/>
        </w:tblCellMar>
      </w:tblPr>
      <w:tblGrid>
        <w:gridCol w:w="1606"/>
        <w:gridCol w:w="146"/>
        <w:gridCol w:w="271"/>
        <w:gridCol w:w="869"/>
        <w:gridCol w:w="187"/>
        <w:gridCol w:w="187"/>
        <w:gridCol w:w="271"/>
        <w:gridCol w:w="869"/>
        <w:gridCol w:w="146"/>
        <w:gridCol w:w="146"/>
        <w:gridCol w:w="214"/>
        <w:gridCol w:w="582"/>
        <w:gridCol w:w="146"/>
        <w:gridCol w:w="146"/>
        <w:gridCol w:w="207"/>
        <w:gridCol w:w="664"/>
        <w:gridCol w:w="31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Essentials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23,262</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revenue was $23.3 million and $20.1 million for the six months ended June 30, 2026 and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Lab Essentials revenue was $17.6 million for the six months ended June 30, 2026, an increase of $1.7 million, or 10.5%, compared to $15.9 million for the six months ended June 30, 2025. The increase in Lab Essentials revenue was attributable to an increased number of customers and, to a lesser extent, higher average revenue per customer.</w:t>
      </w:r>
    </w:p>
    <w:p>
      <w:pPr>
        <w:pStyle w:val="TextBody"/>
        <w:bidi w:val="0"/>
        <w:spacing w:before="200" w:after="283"/>
        <w:jc w:val="left"/>
        <w:rPr>
          <w:rFonts w:ascii="Times New Roman" w:hAnsi="Times New Roman"/>
          <w:sz w:val="20"/>
        </w:rPr>
      </w:pPr>
      <w:r>
        <w:rPr>
          <w:rFonts w:ascii="Times New Roman" w:hAnsi="Times New Roman"/>
          <w:color w:val="000000"/>
          <w:sz w:val="20"/>
        </w:rPr>
        <w:t>Clinical Solutions revenue was $4.6 million for the six months ended June 30, 2026, an increase of $1</w:t>
      </w:r>
      <w:r>
        <w:rPr>
          <w:rFonts w:ascii="Times New Roman" w:hAnsi="Times New Roman"/>
          <w:color w:val="231F20"/>
          <w:sz w:val="20"/>
        </w:rPr>
        <w:t>.4</w:t>
      </w:r>
      <w:r>
        <w:rPr>
          <w:rFonts w:ascii="Times New Roman" w:hAnsi="Times New Roman"/>
          <w:color w:val="000000"/>
          <w:sz w:val="20"/>
        </w:rPr>
        <w:t xml:space="preserve"> million, or 41</w:t>
      </w:r>
      <w:r>
        <w:rPr>
          <w:rFonts w:ascii="Times New Roman" w:hAnsi="Times New Roman"/>
          <w:color w:val="231F20"/>
          <w:sz w:val="20"/>
        </w:rPr>
        <w:t>.9</w:t>
      </w:r>
      <w:r>
        <w:rPr>
          <w:rFonts w:ascii="Times New Roman" w:hAnsi="Times New Roman"/>
          <w:color w:val="000000"/>
          <w:sz w:val="20"/>
        </w:rPr>
        <w:t>%, compared to $3.2 million for the six months ended June 30, 2025. The increase in Clinical Solutions revenue was attributable to an increased number of customers, partially offset by lower average revenue per customer.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revenue disaggregated by geographic region, for the six months ended June 30, 2026 and 2025, was as follows (dollars in thousands):</w:t>
      </w:r>
    </w:p>
    <w:p>
      <w:pPr>
        <w:pStyle w:val="TextBody"/>
        <w:bidi w:val="0"/>
        <w:jc w:val="left"/>
        <w:rPr/>
      </w:pPr>
      <w:r>
        <w:rPr/>
        <w:t> </w:t>
      </w:r>
    </w:p>
    <w:tbl>
      <w:tblPr>
        <w:tblW w:w="6613" w:type="dxa"/>
        <w:jc w:val="left"/>
        <w:tblInd w:w="0" w:type="dxa"/>
        <w:tblLayout w:type="fixed"/>
        <w:tblCellMar>
          <w:top w:w="28" w:type="dxa"/>
          <w:left w:w="28" w:type="dxa"/>
          <w:bottom w:w="28" w:type="dxa"/>
          <w:right w:w="28" w:type="dxa"/>
        </w:tblCellMar>
      </w:tblPr>
      <w:tblGrid>
        <w:gridCol w:w="1246"/>
        <w:gridCol w:w="146"/>
        <w:gridCol w:w="271"/>
        <w:gridCol w:w="869"/>
        <w:gridCol w:w="187"/>
        <w:gridCol w:w="187"/>
        <w:gridCol w:w="271"/>
        <w:gridCol w:w="869"/>
        <w:gridCol w:w="146"/>
        <w:gridCol w:w="146"/>
        <w:gridCol w:w="214"/>
        <w:gridCol w:w="582"/>
        <w:gridCol w:w="146"/>
        <w:gridCol w:w="146"/>
        <w:gridCol w:w="207"/>
        <w:gridCol w:w="664"/>
        <w:gridCol w:w="316"/>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23,262</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from U.S. sales was $22.2 million and $19.0 million for the six months ended June 30, 2026 and 2025, respectively. Revenue from U.S. sales as a percentage of our total revenue was consistent period over period, representing 95.5% and 94.9% of our total revenue during the six months ended June 30, 2026 and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from international sales was $1.0 million for each of the six months ended June 30, 2026 and 2025. Revenue from international sales as a percentage of our total revenue was also consistent period over period, representing 4.5% and 5.1% of our total revenue during the six months ended June 30, 2026 and 2025, respectively.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gross profit for the six months ended June 30, 2026 and 2025, was as follows (dollars in thousands):</w:t>
      </w:r>
    </w:p>
    <w:p>
      <w:pPr>
        <w:pStyle w:val="TextBody"/>
        <w:bidi w:val="0"/>
        <w:jc w:val="left"/>
        <w:rPr/>
      </w:pPr>
      <w:r>
        <w:rPr/>
        <w:t> </w:t>
      </w:r>
    </w:p>
    <w:tbl>
      <w:tblPr>
        <w:tblW w:w="6766" w:type="dxa"/>
        <w:jc w:val="left"/>
        <w:tblInd w:w="0" w:type="dxa"/>
        <w:tblLayout w:type="fixed"/>
        <w:tblCellMar>
          <w:top w:w="28" w:type="dxa"/>
          <w:left w:w="28" w:type="dxa"/>
          <w:bottom w:w="28" w:type="dxa"/>
          <w:right w:w="28" w:type="dxa"/>
        </w:tblCellMar>
      </w:tblPr>
      <w:tblGrid>
        <w:gridCol w:w="1276"/>
        <w:gridCol w:w="146"/>
        <w:gridCol w:w="255"/>
        <w:gridCol w:w="819"/>
        <w:gridCol w:w="328"/>
        <w:gridCol w:w="176"/>
        <w:gridCol w:w="255"/>
        <w:gridCol w:w="819"/>
        <w:gridCol w:w="271"/>
        <w:gridCol w:w="146"/>
        <w:gridCol w:w="214"/>
        <w:gridCol w:w="582"/>
        <w:gridCol w:w="146"/>
        <w:gridCol w:w="146"/>
        <w:gridCol w:w="207"/>
        <w:gridCol w:w="664"/>
        <w:gridCol w:w="316"/>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14,593</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Gross profit percentage was 37.3% and 34.8% for the six months ended June 30, 2026 and 2025, respectively. The increase in gross profit percentage was primarily driven by higher revenue, partially offset by higher fixed cost absorption into cost of goods sold from faster finished goods inventory turns. This compares to the same period in the prior year that had benefited from unusually favorable manufacturing efficiency gains.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operating expenses for the six months ended June 30, 2026 and 2025, were as follows (dollars in thousands):</w:t>
      </w:r>
    </w:p>
    <w:p>
      <w:pPr>
        <w:pStyle w:val="TextBody"/>
        <w:bidi w:val="0"/>
        <w:jc w:val="left"/>
        <w:rPr/>
      </w:pPr>
      <w:r>
        <w:rPr/>
        <w:t> </w:t>
      </w:r>
    </w:p>
    <w:tbl>
      <w:tblPr>
        <w:tblW w:w="8253" w:type="dxa"/>
        <w:jc w:val="left"/>
        <w:tblInd w:w="0" w:type="dxa"/>
        <w:tblLayout w:type="fixed"/>
        <w:tblCellMar>
          <w:top w:w="28" w:type="dxa"/>
          <w:left w:w="28" w:type="dxa"/>
          <w:bottom w:w="28" w:type="dxa"/>
          <w:right w:w="28" w:type="dxa"/>
        </w:tblCellMar>
      </w:tblPr>
      <w:tblGrid>
        <w:gridCol w:w="2806"/>
        <w:gridCol w:w="146"/>
        <w:gridCol w:w="271"/>
        <w:gridCol w:w="869"/>
        <w:gridCol w:w="187"/>
        <w:gridCol w:w="187"/>
        <w:gridCol w:w="271"/>
        <w:gridCol w:w="869"/>
        <w:gridCol w:w="146"/>
        <w:gridCol w:w="146"/>
        <w:gridCol w:w="214"/>
        <w:gridCol w:w="582"/>
        <w:gridCol w:w="166"/>
        <w:gridCol w:w="146"/>
        <w:gridCol w:w="207"/>
        <w:gridCol w:w="664"/>
        <w:gridCol w:w="37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15,857</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were consistent at $1.2 million and $1.1 million for the six months ended June 30, 2026 and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Sales and marketing expenses were $4.3 million and $3.2 million for the six months ended June 30, 2026 and 2025, respectively. The increase was primarily driven by higher headcount and increased marketing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were $9.9 million and $10.4 million for the six months ended June 30, 2026 and 2025, respectively. The decrease was primarily driven by lower stock-based compensation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Amortization of intangible assets was consistent at $0.6 million for each of the six months ended June 30, 2026 and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(expenses) income,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other (expenses) income, net for the six months ended June 30, 2026 and 2025, were as follows (dollars in thousands):</w:t>
      </w:r>
    </w:p>
    <w:p>
      <w:pPr>
        <w:pStyle w:val="TextBody"/>
        <w:bidi w:val="0"/>
        <w:jc w:val="left"/>
        <w:rPr/>
      </w:pPr>
      <w:r>
        <w:rPr/>
        <w:t> </w:t>
      </w:r>
    </w:p>
    <w:tbl>
      <w:tblPr>
        <w:tblW w:w="8377" w:type="dxa"/>
        <w:jc w:val="left"/>
        <w:tblInd w:w="0" w:type="dxa"/>
        <w:tblLayout w:type="fixed"/>
        <w:tblCellMar>
          <w:top w:w="28" w:type="dxa"/>
          <w:left w:w="28" w:type="dxa"/>
          <w:bottom w:w="28" w:type="dxa"/>
          <w:right w:w="28" w:type="dxa"/>
        </w:tblCellMar>
      </w:tblPr>
      <w:tblGrid>
        <w:gridCol w:w="2911"/>
        <w:gridCol w:w="146"/>
        <w:gridCol w:w="330"/>
        <w:gridCol w:w="753"/>
        <w:gridCol w:w="259"/>
        <w:gridCol w:w="228"/>
        <w:gridCol w:w="330"/>
        <w:gridCol w:w="753"/>
        <w:gridCol w:w="166"/>
        <w:gridCol w:w="146"/>
        <w:gridCol w:w="242"/>
        <w:gridCol w:w="554"/>
        <w:gridCol w:w="166"/>
        <w:gridCol w:w="146"/>
        <w:gridCol w:w="163"/>
        <w:gridCol w:w="708"/>
        <w:gridCol w:w="37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 to loan exit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other (expenses) income, net was an expense of $0.5 million for the six months ended June 30, 2026, compared to income of $0.2 million for the six months ended June 30, 2025. The increase in total other expense, net was primarily attributable to the $0.5 million adjustment recognized on the exit fee concurrent with the refinancing of our credit agreement during the three months ended March 31, 2025 coupled with lower interest income for the six months ended June 30, 2026 compared to the six months ended June 30, 2025.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provision for income taxes for the six months ended June 30, 2026 and 2025, was as follows (dollars in thousands):</w:t>
      </w:r>
    </w:p>
    <w:p>
      <w:pPr>
        <w:pStyle w:val="TextBody"/>
        <w:bidi w:val="0"/>
        <w:spacing w:before="10" w:after="283"/>
        <w:jc w:val="left"/>
        <w:rPr/>
      </w:pPr>
      <w:r>
        <w:rPr/>
        <w:t> </w:t>
      </w:r>
    </w:p>
    <w:tbl>
      <w:tblPr>
        <w:tblW w:w="7831" w:type="dxa"/>
        <w:jc w:val="left"/>
        <w:tblInd w:w="0" w:type="dxa"/>
        <w:tblLayout w:type="fixed"/>
        <w:tblCellMar>
          <w:top w:w="28" w:type="dxa"/>
          <w:left w:w="28" w:type="dxa"/>
          <w:bottom w:w="28" w:type="dxa"/>
          <w:right w:w="28" w:type="dxa"/>
        </w:tblCellMar>
      </w:tblPr>
      <w:tblGrid>
        <w:gridCol w:w="2281"/>
        <w:gridCol w:w="146"/>
        <w:gridCol w:w="321"/>
        <w:gridCol w:w="642"/>
        <w:gridCol w:w="504"/>
        <w:gridCol w:w="222"/>
        <w:gridCol w:w="321"/>
        <w:gridCol w:w="642"/>
        <w:gridCol w:w="331"/>
        <w:gridCol w:w="146"/>
        <w:gridCol w:w="318"/>
        <w:gridCol w:w="478"/>
        <w:gridCol w:w="146"/>
        <w:gridCol w:w="146"/>
        <w:gridCol w:w="207"/>
        <w:gridCol w:w="664"/>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income tax expense was $0.1 million for the six months ended June 30, 2026 and not significant for the six months ended June 30, 2025. The effective tax rates for the six months ended June 30, 2026 and 2025 were (1.0)% and (0.5)% respectively. The effective tax rates differ from the federal statutory rate primarily due to operating losses not expected to produce an income tax benefit.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primary sources of financing for our operations are our (i) registered direct offering and concurrent private placement completed in September 2023, which resulted in aggregate gross proceeds of $22.9 million before deducting offering expenses of $0.4 million and the prepayment of $10.0 million of the Term Loan, and (ii) private placement completed in July 2024, which resulted in aggregate gross proceeds of $15.4 million before deducting offering expenses of $0.2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principal liquidity requirements are to fund our operations and capital expenditures. During the six months ended June 30, 2026, we incurred net losses of $7.7 million. In addition, as of June 30, 2026, we had an accumulated deficit of $143.5 million and $13.2 million in borrowings outstanding under our Term Loan (defined below). As of June 30, 2026, we had $24.0 million in net working capital, which included $17.4 million in cash and cash equivalents and short-term investments. Our material cash requirements from known contractual obligations and commitments relate primarily to operating leases for our office, manufacturing, warehouse, and distribution facilities at June 30, 2026. See “Notes to Financial Statements—Note 9. Leases,” for a discussion of our lease obligations reflected on our Condensed Balance Sheets. </w:t>
      </w:r>
    </w:p>
    <w:p>
      <w:pPr>
        <w:pStyle w:val="TextBody"/>
        <w:bidi w:val="0"/>
        <w:spacing w:before="200" w:after="160"/>
        <w:jc w:val="left"/>
        <w:rPr>
          <w:rFonts w:ascii="Times New Roman" w:hAnsi="Times New Roman"/>
          <w:sz w:val="20"/>
        </w:rPr>
      </w:pPr>
      <w:r>
        <w:rPr>
          <w:rFonts w:ascii="Times New Roman" w:hAnsi="Times New Roman"/>
          <w:color w:val="000000"/>
          <w:sz w:val="20"/>
        </w:rPr>
        <w:t xml:space="preserve">In addition to our existing cash and cash equivalents and short-term investments, our principal source of liquidity is our credit facility. On March 3, 2025, we entered into the Second Amended and Restated Credit Agreement with MidCap Financial Trust (MidCap) which provides for loan commitments in an aggregate amount of up to $28.245 million consisting of a $23.245 million senior secured term loan (Term Loan) and a $5.0 million working capital facility (Revolver). The Term Loan consists of the $12.135 million balance outstanding under the previous term loan, plus an additional $1.110 million related to the exit fee that would otherwise have been due upon closing of the Second Amended and Restated Term Loan Credit Agreement, as well as an additional tranche of $10.0 million that may become available for use in an acquisition, with MidCap’s consent. As of June 30, 2026, </w:t>
      </w:r>
      <w:r>
        <w:rPr>
          <w:rFonts w:ascii="Times New Roman" w:hAnsi="Times New Roman"/>
          <w:color w:val="231F20"/>
          <w:sz w:val="20"/>
        </w:rPr>
        <w:t xml:space="preserve">there were no amounts outstanding under the Revolver, and $3.4 million was available based on borrowing base estimates. </w:t>
      </w:r>
      <w:r>
        <w:rPr>
          <w:rFonts w:ascii="Times New Roman" w:hAnsi="Times New Roman"/>
          <w:color w:val="000000"/>
          <w:sz w:val="20"/>
        </w:rPr>
        <w:t xml:space="preserve">The Second Amended and Restated Credit Agreement includes minimum net revenue requirements that are measured on a trailing twelve-month basis and a minimum cash requirement </w:t>
      </w:r>
      <w:r>
        <w:rPr>
          <w:rFonts w:ascii="Times New Roman" w:hAnsi="Times New Roman"/>
          <w:color w:val="231F20"/>
          <w:sz w:val="20"/>
        </w:rPr>
        <w:t xml:space="preserve">throughout the term of the agreement. </w:t>
      </w:r>
      <w:r>
        <w:rPr>
          <w:rFonts w:ascii="Times New Roman" w:hAnsi="Times New Roman"/>
          <w:color w:val="000000"/>
          <w:sz w:val="20"/>
        </w:rPr>
        <w:t>The minimum cash requirement is $8.0 million, which includes cash and cash equivalents as well as short-term investments in U.S. Treasuries. We were in compliance with our financial covenants under the terms of the Second Amended and Restated Credit Agreement as of June 30, 2026. See “Notes to Financial Statements—Note 12. Long-Term Debt, Net” for a more detailed discussion of the material terms of our Second Amended and Restated Credit Agreement.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On July 10, 2025, we filed a “shelf” registration statement on Form S-3 (Reg. No. 333-288613) with the SEC, which was declared effective on July 16, 2025. This shelf registration statement, which includes a base prospectus, allows us at any time to offer any combination of securities described in the prospectus in one or more offerings for our own account in an aggregate amount up to $225 million.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for the periods indicated, net cash flows used in operating activities, provided by investing activities, and provided by (used in) financing activities (in thousands):</w:t>
      </w:r>
    </w:p>
    <w:p>
      <w:pPr>
        <w:pStyle w:val="TextBody"/>
        <w:bidi w:val="0"/>
        <w:jc w:val="left"/>
        <w:rPr/>
      </w:pPr>
      <w:r>
        <w:rPr/>
        <w:t> </w:t>
      </w:r>
    </w:p>
    <w:tbl>
      <w:tblPr>
        <w:tblW w:w="7225" w:type="dxa"/>
        <w:jc w:val="left"/>
        <w:tblInd w:w="0" w:type="dxa"/>
        <w:tblLayout w:type="fixed"/>
        <w:tblCellMar>
          <w:top w:w="28" w:type="dxa"/>
          <w:left w:w="28" w:type="dxa"/>
          <w:bottom w:w="28" w:type="dxa"/>
          <w:right w:w="28" w:type="dxa"/>
        </w:tblCellMar>
      </w:tblPr>
      <w:tblGrid>
        <w:gridCol w:w="4216"/>
        <w:gridCol w:w="146"/>
        <w:gridCol w:w="280"/>
        <w:gridCol w:w="839"/>
        <w:gridCol w:w="220"/>
        <w:gridCol w:w="194"/>
        <w:gridCol w:w="280"/>
        <w:gridCol w:w="839"/>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operating activities for both the six months ended June 30, 2026 and 2025 consisted primarily of net loss, adjusted for certain non-cash items, and changes in working capital and other 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operating activities was $3.8 million for the six months ended June 30, 2026, which primarily consisted of net loss of $7.7 million plus net adjustments for non-cash charges of $5.4 million, offset by net changes in operating assets and liabilities of $1.5 million. The primary non-cash adjustments to net loss included $3.2 million of depreciation and amortization, $1.3 million of stock-based compensation, and a $0.8 million provision for inventory. The main drivers of the changes in operating assets and liabilities were a $0.8 million increase in accounts receivable, a $0.7 million increase in inventories, and a $0.7 million decrease in accrued liabilities, partially offset by a $0.3 million decrease in prepaid expenses and other current assets, a $0.2 million decrease in other non-current assets, and a $0.2 million increase in accounts payable.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operating activities was $6.2 million for the six months ended June 30, 2025, which primarily consisted of net loss of $8.2 million plus net adjustments for non-cash charges of $5.4 million, offset by net changes in operating assets and liabilities of $3.4 million. The primary non-cash adjustments to net loss included $3.2 million of depreciation and amortization, $1.8 million of stock-based compensation, and $0.9 million provision for inventory, partially offset by an adjustment to the loan exit fee of $0.5 million, and amortization of the discount on short-term investments of $0.4 million. The main drivers of the changes in operating assets and liabilities were a $1.7 million increase in inventories, a $1.2 million decrease in accrued liabilities, and a $0.9 million increase in accounts receivable, partially offset by a $0.4 million increase in accounts payable.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provided by investing activities was $3.8 million for the six months ended June 30, 2026, which consisted of maturities of short-term investments of $12.0 million, partially offset by purchases of short-term investments of $7.9 million and purchases of property, plant, and equipment of $0.3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provided by investing activities was $5.9 million for the six months ended June 30, 2025, which consisted of maturities of short-term investments of $16.0 million, partially offset by purchases of short-term investments of $9.7 million and purchases of property, plant, and equipment of $0.4 million.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provided by financing activities was $0.1 million for the six months ended June 30, 2026, which was primarily attributable to proceeds of $0.2 million from exercise of stock options and proceeds of $0.1 million from the issuance of common stock under our employee stock purchase plan, partially offset by the repayment of financed insurance premiums of $0.1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financing activities was $0.1 million for the six months ended June 30, 2025, which was primarily attributable to payment of exit fee costs of $1.1 million in connection with entering into the Second Amended and Restated Term Loan Credit Agreement, payment of debt issuance costs of $0.1 million, and repayment of financed insurance premiums of $0.1 million, largely offset by proceeds from long-term debt of $1.1 million and proceeds of $0.1 million from the issuance of common stock under our employee stock purchase plan.</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sz w:val="20"/>
        </w:rPr>
      </w:pPr>
      <w:r>
        <w:rPr>
          <w:rFonts w:ascii="Times New Roman" w:hAnsi="Times New Roman"/>
          <w:color w:val="000000"/>
          <w:sz w:val="20"/>
        </w:rPr>
        <w:t>For a discussion of our critical accounting estimates, refer to "Management</w:t>
      </w:r>
      <w:r>
        <w:rPr>
          <w:rFonts w:ascii="Times New Roman" w:hAnsi="Times New Roman"/>
          <w:color w:val="231F20"/>
          <w:sz w:val="20"/>
        </w:rPr>
        <w:t>’</w:t>
      </w:r>
      <w:r>
        <w:rPr>
          <w:rFonts w:ascii="Times New Roman" w:hAnsi="Times New Roman"/>
          <w:color w:val="000000"/>
          <w:sz w:val="20"/>
        </w:rPr>
        <w:t>s Discussion and Analysis of Results of Operations and Financial Condition" in Part II, Item 7 and the notes to our financial statements in Part II, Item 8 of our 2025 Annual Report on Form 10-K. See also “Notes to Financial Statements—Note 2. Basis of Presentation and Summary of Significant Accounting Policies,” to our condensed financial statements included in Part I, Item 1 of this Quarterly Report on Form 10-Q. There have been no material changes to our critical accounting estimates since our 2025 Annual Report on Form 10-K.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Emerging Growth Company and Smaller Reporting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qualify as an “emerging growth company” as defined in the JOBS Act. As long as we qualify as an emerging growth company, we may take advantage of certain exemptions from various reporting requirements and other burdens that are otherwise applicable generally to public companies. These provisions include, but are not limited to:</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reduced obligations with respect to financial data, including presenting only two years of audited financial statements;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 exemption from compliance with the auditor attestation requirements of Section 404 of the Sarbanes-Oxley Act;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reduced disclosure about our executive compensation arrangements in our periodic reports, proxy statements, and registration statements;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exemptions from the requirements of holding non-binding advisory votes on executive compensation or golden parachute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under the JOBS Act, emerging growth companies can delay adopting new or revised accounting standards until such time as those standards apply to private companies. We have elected to avail ourselves of this exemption from adopting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JOBS Act, we will remain an emerging growth company until the earliest to occur of:</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last day of the fiscal year in which we have total annual gross revenues of $1.235 billion or more;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last day of our fiscal year following the fifth anniversary of the date of the closing of our initial public offering, which we completed in June 2021;</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date on which we have issued more than $1.0 billion in nonconvertible debt during the previous three years; and</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the date on which we are deemed to be a “large accelerated filer” under the </w:t>
      </w:r>
      <w:r>
        <w:rPr>
          <w:rFonts w:ascii="Times New Roman" w:hAnsi="Times New Roman"/>
          <w:color w:val="000000"/>
          <w:sz w:val="20"/>
        </w:rPr>
        <w:t>Securities Exchange Act of 1934, as amended</w:t>
      </w:r>
      <w:r>
        <w:rPr>
          <w:color w:val="231F20"/>
        </w:rPr>
        <w:t xml:space="preserve"> </w:t>
      </w:r>
      <w:r>
        <w:rPr>
          <w:rFonts w:ascii="Times New Roman" w:hAnsi="Times New Roman"/>
          <w:color w:val="231F20"/>
          <w:sz w:val="20"/>
        </w:rPr>
        <w:t>(the Exchange Act) (i.e., the first day of the fiscal year after we have (i) more than $700.0 million in outstanding common equity held by our non-affiliates, measured each year on the last business day of our most recently completed second fiscal quarter, and (ii) been public for at least 12 months).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will cease to be an emerging growth company on December 31, 2026, at the latest.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also a “smaller reporting company” as defined in Rule 12b-2 under the Exchange Act. We may continue to be a smaller reporting company even after we are no longer an emerging growth company. If we continue as a smaller reporting company, we may take advantage of certain of the scaled disclosures available to smaller reporting companies including (i) an exemption from auditor attestation requirements, (ii) being able to present only two years of audited financial statements in annual reports, and (iii) reduced disclosure obligations regarding executive compensation. We may continue as a smaller reporting company until the fiscal year following the determination that (i) the market value of our voting and non-voting common stock held by non-affiliates equals or exceeds $250.0 million measured on the last business day of our most recently completed second fiscal quarter, and our annual revenues are more than $100.0 million during the most recently completed fiscal year or (ii) the market value of our voting and non-voting common stock held by non-affiliates equals or exceeds $700.0 million measured on the last business day of our most recently completed second fiscal quarter.</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description of recent accounting pronouncements that may potentially impact our financial position, results of operations, or cash flows is disclosed in “Notes to Financial Statement—Note 2. Basis of Presentation and Summary of Significant Accounting Policies,” to our condensed financial statements included in Part I, Item 1 of this Quarterly Report on Form 10-Q.</w:t>
      </w:r>
    </w:p>
    <w:p>
      <w:pPr>
        <w:pStyle w:val="TextBody"/>
        <w:bidi w:val="0"/>
        <w:jc w:val="left"/>
        <w:rPr/>
      </w:pPr>
      <w:r>
        <w:rPr/>
        <w:t> </w:t>
      </w:r>
    </w:p>
    <w:p>
      <w:pPr>
        <w:pStyle w:val="TextBody"/>
        <w:bidi w:val="0"/>
        <w:jc w:val="left"/>
        <w:rPr>
          <w:rFonts w:ascii="Times New Roman" w:hAnsi="Times New Roman"/>
          <w:b/>
          <w:color w:val="000000"/>
          <w:sz w:val="20"/>
        </w:rPr>
      </w:pPr>
      <w:bookmarkStart w:id="10" w:name="i_item3"/>
      <w:bookmarkEnd w:id="10"/>
      <w:r>
        <w:rPr>
          <w:rFonts w:ascii="Times New Roman" w:hAnsi="Times New Roman"/>
          <w:b/>
          <w:color w:val="000000"/>
          <w:sz w:val="20"/>
        </w:rPr>
        <w:t>Item 3. 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smaller reporting company, as defined in Rule 12b-2 under the Exchange Act, for this reporting period and are not required to provide the information required under this item.</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1" w:name="i_item4"/>
      <w:bookmarkEnd w:id="11"/>
      <w:r>
        <w:rPr>
          <w:rFonts w:ascii="Times New Roman" w:hAnsi="Times New Roman"/>
          <w:b/>
          <w:color w:val="000000"/>
          <w:sz w:val="20"/>
        </w:rPr>
        <w:t>Item 4. Controls and Procedures.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Based on the evaluation of our disclosure controls and procedures as of June 30, 2026, our Chief Executive Officer and Chief Financial Officer concluded that our disclosure controls and procedures were effective.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during the quarter ended June 30, 2026, that have materially affected, or are reasonably likely to materially affect, our internal control over financial reporting.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bookmarkStart w:id="12" w:name="ii_other_information"/>
      <w:bookmarkEnd w:id="12"/>
      <w:r>
        <w:rPr>
          <w:rFonts w:ascii="Times New Roman" w:hAnsi="Times New Roman"/>
          <w:b/>
          <w:color w:val="000000"/>
          <w:sz w:val="20"/>
        </w:rPr>
        <w:t>PART II—OTHER INFORMATION</w:t>
      </w:r>
    </w:p>
    <w:p>
      <w:pPr>
        <w:pStyle w:val="TextBody"/>
        <w:bidi w:val="0"/>
        <w:spacing w:before="200" w:after="283"/>
        <w:jc w:val="left"/>
        <w:rPr>
          <w:rFonts w:ascii="Times New Roman" w:hAnsi="Times New Roman"/>
          <w:b/>
          <w:color w:val="000000"/>
          <w:sz w:val="20"/>
        </w:rPr>
      </w:pPr>
      <w:bookmarkStart w:id="13" w:name="ii_item1"/>
      <w:bookmarkEnd w:id="13"/>
      <w:r>
        <w:rPr>
          <w:rFonts w:ascii="Times New Roman" w:hAnsi="Times New Roman"/>
          <w:b/>
          <w:color w:val="000000"/>
          <w:sz w:val="20"/>
        </w:rPr>
        <w:t>Item 1. Legal 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not a party to any material legal proceedings at this time. From time to time, we may become involved in various legal proceedings that arise in the ordinary course of business. For example, we may in the future become involved in legal proceedings relating to customers, employees, suppliers, competitors, government agencies, or others. We will evaluate any claims and lawsuits with respect to their potential merits, our potential defenses and counter claims, and the expected effect on us of defending the claims and a potential adverse result. However, the results of any litigation, investigation, or other legal proceedings are inherently unpredictable and potentially expensive. Any claims against us, whether meritorious or not, could be time consuming, result in costly litigation, damage our reputation, require significant amounts of management time, and divert significant resources. If any legal proceedings were to be determined adversely to us, or we were to enter into a settlement arrangement, we could be exposed to monetary damages or limits on our ability to operate our business, which could have an adverse effect on our business, financial condition, and operating results. </w:t>
      </w:r>
    </w:p>
    <w:p>
      <w:pPr>
        <w:pStyle w:val="TextBody"/>
        <w:bidi w:val="0"/>
        <w:jc w:val="left"/>
        <w:rPr>
          <w:rFonts w:ascii="Times New Roman" w:hAnsi="Times New Roman"/>
          <w:color w:val="000000"/>
          <w:sz w:val="20"/>
        </w:rPr>
      </w:pPr>
      <w:r>
        <w:rPr>
          <w:rFonts w:ascii="Times New Roman" w:hAnsi="Times New Roman"/>
          <w:color w:val="000000"/>
          <w:sz w:val="20"/>
        </w:rPr>
        <w:br/>
        <w:br/>
        <w:b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risk_factors"/>
      <w:bookmarkEnd w:id="14"/>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we attempt to identify, manage, and mitigate risks and uncertainties associated with our business to the extent practical under the circumstances, some level of risk and uncertainty will always be present. Item 1A—“Risk Factors” in the 2025 Annual Report on Form 10-K describes some of the risks and uncertainties associated with our business, which we strongly encourage you to review. These risks and uncertainties have the potential to materially affect our business, financial condition, results of operations, cash flows, projected results, and future prospects. Except as set forth below, there have been no material changes in our risk factors from those disclosed in the 2025 Annual Report on Form 10-K.</w:t>
      </w:r>
    </w:p>
    <w:p>
      <w:pPr>
        <w:pStyle w:val="TextBody"/>
        <w:bidi w:val="0"/>
        <w:spacing w:before="200" w:after="283"/>
        <w:jc w:val="left"/>
        <w:rPr>
          <w:rFonts w:ascii="Times New Roman" w:hAnsi="Times New Roman"/>
          <w:sz w:val="20"/>
        </w:rPr>
      </w:pPr>
      <w:r>
        <w:rPr>
          <w:rFonts w:ascii="Times New Roman" w:hAnsi="Times New Roman"/>
          <w:b/>
          <w:i/>
          <w:color w:val="000000"/>
          <w:sz w:val="20"/>
        </w:rPr>
        <w:t>We have incurred operating losses in the past and may incur losses in the future.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incurred operating losses in the past, may incur operating losses in the future and may never achieve or maintain profitability. For the three and six months ended June 30, 2026, we incurred net losses of $3.2 million and $7.7 million, respectively. We have incurred and will continue to incur costs in connection with legal, accounting, and other administrative expenses related to operating as a public company and we expect that our operating expenses will increase modestly with the growth of our business. Since our inception, we have financed our operations primarily through revenue from our products, the sale of our equity securities, and debt. While our revenue has generally grown over the last several years, including the first six months of 2026 compared to the comparable period of 2025, and 2025 compared to 2024, it decreased in 2023 compared to 2022. If our revenue declines or fails to grow at a rate sufficient to offset our operating expenses, we will not be able to achieve and maintain profitability in future periods. We may never be able to generate sufficient revenue to achieve or maintain profitability, and our more recent growth and historical profitability should not be considered predictive of our future performance.</w:t>
      </w:r>
    </w:p>
    <w:p>
      <w:pPr>
        <w:pStyle w:val="TextBody"/>
        <w:bidi w:val="0"/>
        <w:spacing w:before="200" w:after="160"/>
        <w:jc w:val="left"/>
        <w:rPr>
          <w:rFonts w:ascii="Times New Roman" w:hAnsi="Times New Roman"/>
          <w:b/>
          <w:i/>
          <w:color w:val="000000"/>
          <w:sz w:val="20"/>
        </w:rPr>
      </w:pPr>
      <w:r>
        <w:rPr>
          <w:rFonts w:ascii="Times New Roman" w:hAnsi="Times New Roman"/>
          <w:b/>
          <w:i/>
          <w:color w:val="000000"/>
          <w:sz w:val="20"/>
        </w:rPr>
        <w:t>The use of artificial intelligence (AI) and other emerging technologies in our operations may expose us to additional operational, competitive, regulatory, legal, cybersecurity, intellectual property, compliance, and other risks.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We are evaluating and may increasingly incorporate artificial intelligence ("AI"), machine learning, and other emerging technologies into various facets of our operations, including our manufacturing processes, quality systems, and customer-facing activities. While we believe these technologies have the potential to improve efficiency and support our business, their use also introduces operational, regulatory, legal, cybersecurity, intellectual property, compliance, competitive, and other risks that are difficult to predict or fully mitigate.</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algorithms and models underlying AI systems may have limitations, including biases, errors, insufficient or erroneous training data, or an inability to handle certain data types or scenarios. AI-generated content, analyses, or recommendations we utilize could prove inadequate or produce unintended consequences, including data leakage, cybersecurity incidents, or intellectual property infringement. The use of AI technologies in our manufacturing processes, quality systems, or other operational activities could also result in errors, inaccurate outputs, process failures, compliance issues, or other unintended consequences that could adversely affect our operations, product quality, customer relationships, or business results. If our employees use AI technologies in ways that are unauthorized or inconsistent with our policies, our confidential information, intellectual property, or reputation could be put at risk. Furthermore, the platforms providing AI models are in some cases owned and operated by emerging companies with less contractual, business, and compliance sophistication, which may limit our ability to manage these risks effectively.</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regulatory landscape governing the use of AI is rapidly evolving, particularly in California, where we are headquartered, and more broadly across the United States and internationally. California has been among the most active jurisdictions in developing AI-related legislation and regulation, including laws and proposals addressing data privacy, algorithmic accountability, and automated decision-making. New or amended laws, regulations, or guidance could require us to modify or limit our use of these technologies, increase our compliance costs, or expose us to liability. These developing obligations create uncertainty and may prevent or make it harder for us to conduct or enhance our business using AI, or lead to regulatory fines, penalties, or other liability.</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use of AI and related technologies also introduces cybersecurity risks, including vulnerabilities in third-party AI tools or platforms we may adopt and risks related to the integrity or confidentiality of data used to train or operate such systems. A breach or failure of any AI-related system could disrupt our operations, compromise proprietary or sensitive information, or damage our reputation with customers and partners.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In addition, the competitive dynamics of our industry may shift as AI and other emerging technologies become more widely adopted. If our competitors adopt these technologies more effectively than we do, or if new entrants leverage them to develop superior products or more efficient operations, our competitive position could be harmed. Conversely, if we invest in AI technologies that fail to perform as expected or that become obsolete, we may not realize the anticipated benefits and may incur costs without a corresponding return. There can be no assurance that our use of AI or any investments we make in AI will enhance our products or services or be beneficial to our business, including our efficiency or profitability.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The legal and liability frameworks surrounding AI remain unsettled, including questions of intellectual property ownership, liability for AI-generated outputs, and potential claims arising from our use of AI in our operations. If we are subject to litigation or regulatory action related to our use of AI, the costs of defending such actions and any resulting damages or penalties could be material.</w:t>
      </w:r>
    </w:p>
    <w:p>
      <w:pPr>
        <w:pStyle w:val="TextBody"/>
        <w:bidi w:val="0"/>
        <w:spacing w:before="40" w:after="200"/>
        <w:jc w:val="left"/>
        <w:rPr>
          <w:rFonts w:ascii="Times New Roman" w:hAnsi="Times New Roman"/>
          <w:b/>
          <w:i/>
          <w:color w:val="000000"/>
          <w:sz w:val="20"/>
        </w:rPr>
      </w:pPr>
      <w:r>
        <w:rPr>
          <w:rFonts w:ascii="Times New Roman" w:hAnsi="Times New Roman"/>
          <w:b/>
          <w:i/>
          <w:color w:val="000000"/>
          <w:sz w:val="20"/>
        </w:rPr>
        <w:t>We will no longer qualify as an “emerging growth company” as of December 31, 2026 and, as a result, we will become subject to certain additional regulatory requirements.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are currently an “emerging growth company,” as defined in the JOBS Act, and we take advantage of certain exemptions from various reporting requirements that are applicable to other public companies that are not “emerging growth companies.” We will cease to qualify as an emerging growth company as of December 31, 2026. We are also currently a “smaller reporting company,” as defined in Rule 12b-2 under the Exchange Act, and we expect to remain a smaller reporting company after we cease to qualify as an emerging growth company.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Many of the regulatory exemptions available as an emerging growth company will continue to be available to us because of our status as a smaller reporting company, and therefore we anticipate only modest increases in legal and administrative costs as a result of our loss of our emerging growth company status. However, any failure to timely comply with the additional regularoty requirements that we are not exempted from as a smaller reporting company, could result in stockholder or regulatory scrutiny of our corporate governance practices. In addition, if we cease to qualify as a smaller reporting company in the future, we could become subject to additional regulatory requirements and compliance with these additional requirements could substantially increase our legal and administrative compliance costs.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bookmarkStart w:id="15" w:name="ii_item2"/>
      <w:bookmarkEnd w:id="15"/>
      <w:r>
        <w:rPr>
          <w:rFonts w:ascii="Times New Roman" w:hAnsi="Times New Roman"/>
          <w:b/>
          <w:color w:val="000000"/>
          <w:sz w:val="20"/>
        </w:rPr>
        <w:t>Item 2. Unregistered Sales of Equity Securities and Use of Proceeds.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Use of Proceeds from Initial Public Offering of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Repurchases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16" w:name="ii_item3"/>
      <w:bookmarkEnd w:id="16"/>
      <w:r>
        <w:rPr>
          <w:rFonts w:ascii="Times New Roman" w:hAnsi="Times New Roman"/>
          <w:b/>
          <w:color w:val="000000"/>
          <w:sz w:val="20"/>
        </w:rPr>
        <w:t>Item 3. Defaults Upon 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00" w:after="283"/>
        <w:jc w:val="left"/>
        <w:rPr>
          <w:rFonts w:ascii="Times New Roman" w:hAnsi="Times New Roman"/>
          <w:b/>
          <w:color w:val="000000"/>
          <w:sz w:val="20"/>
        </w:rPr>
      </w:pPr>
      <w:bookmarkStart w:id="17" w:name="ii_item4"/>
      <w:bookmarkEnd w:id="17"/>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left"/>
        <w:rPr>
          <w:rFonts w:ascii="Times New Roman" w:hAnsi="Times New Roman"/>
          <w:b/>
          <w:color w:val="000000"/>
          <w:sz w:val="20"/>
        </w:rPr>
      </w:pPr>
      <w:bookmarkStart w:id="18" w:name="ii_item5"/>
      <w:bookmarkEnd w:id="18"/>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 of our officers or directors (as defined in Rule 16a-1(f) under the Exchange Act) adopted, modified, or terminated a “Rule 10b5-1 trading arrangement” or a “non-Rule 10b5-1 trading arrangement” (as each term is defined in Item 408 of Regulation S-K), during the three months ended June 30, 2026.</w:t>
      </w:r>
    </w:p>
    <w:p>
      <w:pPr>
        <w:pStyle w:val="TextBody"/>
        <w:bidi w:val="0"/>
        <w:jc w:val="left"/>
        <w:rPr>
          <w:rFonts w:ascii="Times New Roman" w:hAnsi="Times New Roman"/>
          <w:b/>
          <w:color w:val="000000"/>
          <w:sz w:val="20"/>
        </w:rPr>
      </w:pPr>
      <w:bookmarkStart w:id="19" w:name="ii_item6"/>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3"/>
        <w:gridCol w:w="234"/>
        <w:gridCol w:w="9188"/>
      </w:tblGrid>
      <w:tr>
        <w:trPr/>
        <w:tc>
          <w:tcPr>
            <w:tcW w:w="7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8" w:type="dxa"/>
            <w:tcBorders/>
            <w:vAlign w:val="center"/>
          </w:tcPr>
          <w:p>
            <w:pPr>
              <w:pStyle w:val="TableContents"/>
              <w:bidi w:val="0"/>
              <w:spacing w:before="0" w:after="283"/>
              <w:jc w:val="left"/>
              <w:rPr>
                <w:sz w:val="4"/>
                <w:szCs w:val="4"/>
              </w:rPr>
            </w:pPr>
            <w:r>
              <w:rPr>
                <w:sz w:val="4"/>
                <w:szCs w:val="4"/>
              </w:rPr>
            </w:r>
          </w:p>
        </w:tc>
      </w:tr>
      <w:tr>
        <w:trPr/>
        <w:tc>
          <w:tcPr>
            <w:tcW w:w="783"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3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Alpha Teknova, Inc. (incorporated by reference to Exhibit 3.1 to the Registrant’s Current Report on Form 8-K filed with the SEC on June 29, 2021).</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jc w:val="left"/>
              <w:rPr/>
            </w:pPr>
            <w:hyperlink r:id="rId3">
              <w:r>
                <w:rPr>
                  <w:rStyle w:val="InternetLink"/>
                  <w:rFonts w:ascii="Times New Roman" w:hAnsi="Times New Roman"/>
                  <w:color w:val="0000FF"/>
                  <w:sz w:val="20"/>
                  <w:u w:val="single"/>
                </w:rPr>
                <w:t>Amended and Restated Bylaws of Alpha Teknova, Inc. (incorporated by reference to Exhibit 3.2 to the Registrant’s</w:t>
              </w:r>
            </w:hyperlink>
          </w:p>
          <w:p>
            <w:pPr>
              <w:pStyle w:val="TableContents"/>
              <w:bidi w:val="0"/>
              <w:spacing w:before="0" w:after="283"/>
              <w:jc w:val="left"/>
              <w:rPr/>
            </w:pPr>
            <w:hyperlink r:id="rId4">
              <w:r>
                <w:rPr>
                  <w:rStyle w:val="InternetLink"/>
                  <w:rFonts w:ascii="Times New Roman" w:hAnsi="Times New Roman"/>
                  <w:color w:val="0000FF"/>
                  <w:sz w:val="20"/>
                  <w:u w:val="single"/>
                </w:rPr>
                <w:t>Current Report on Form 8-K filed with the SEC on June 29, 2021)</w:t>
              </w:r>
            </w:hyperlink>
            <w:r>
              <w:rPr>
                <w:rFonts w:ascii="Times New Roman" w:hAnsi="Times New Roman"/>
                <w:color w:val="000000"/>
                <w:sz w:val="20"/>
              </w:rPr>
              <w:t>.</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jc w:val="left"/>
              <w:rPr/>
            </w:pPr>
            <w:hyperlink r:id="rId5">
              <w:r>
                <w:rPr>
                  <w:rStyle w:val="InternetLink"/>
                  <w:rFonts w:ascii="Times New Roman" w:hAnsi="Times New Roman"/>
                  <w:color w:val="0000FF"/>
                  <w:sz w:val="20"/>
                  <w:u w:val="single"/>
                </w:rPr>
                <w:t>Form of Common Stock Certificate (incorporated by reference to Exhibit 4.1 to the Registrant’s Registration Statement</w:t>
              </w:r>
            </w:hyperlink>
          </w:p>
          <w:p>
            <w:pPr>
              <w:pStyle w:val="TableContents"/>
              <w:bidi w:val="0"/>
              <w:spacing w:before="0" w:after="283"/>
              <w:jc w:val="left"/>
              <w:rPr/>
            </w:pPr>
            <w:hyperlink r:id="rId6">
              <w:r>
                <w:rPr>
                  <w:rStyle w:val="InternetLink"/>
                  <w:rFonts w:ascii="Times New Roman" w:hAnsi="Times New Roman"/>
                  <w:color w:val="0000FF"/>
                  <w:sz w:val="20"/>
                  <w:u w:val="single"/>
                </w:rPr>
                <w:t>on Form S-1 (File No. 333-256795 filed with the SEC on June 21, 2021).</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jc w:val="left"/>
              <w:rPr/>
            </w:pPr>
            <w:hyperlink r:id="rId7">
              <w:r>
                <w:rPr>
                  <w:rStyle w:val="InternetLink"/>
                  <w:rFonts w:ascii="Times New Roman" w:hAnsi="Times New Roman"/>
                  <w:color w:val="0000FF"/>
                  <w:sz w:val="20"/>
                  <w:u w:val="single"/>
                </w:rPr>
                <w:t>Investors’ Rights Agreement, dated as of January 14, 2019, by and among Alpha Teknova, Inc., and certain of its</w:t>
              </w:r>
            </w:hyperlink>
          </w:p>
          <w:p>
            <w:pPr>
              <w:pStyle w:val="TableContents"/>
              <w:bidi w:val="0"/>
              <w:jc w:val="left"/>
              <w:rPr/>
            </w:pPr>
            <w:hyperlink r:id="rId8">
              <w:r>
                <w:rPr>
                  <w:rStyle w:val="InternetLink"/>
                  <w:rFonts w:ascii="Times New Roman" w:hAnsi="Times New Roman"/>
                  <w:color w:val="0000FF"/>
                  <w:sz w:val="20"/>
                  <w:u w:val="single"/>
                </w:rPr>
                <w:t>stockholders (incorporated by reference to Exhibit 4.2 to the Registrant’s Registration Statement on Form S-1 (File No.</w:t>
              </w:r>
            </w:hyperlink>
          </w:p>
          <w:p>
            <w:pPr>
              <w:pStyle w:val="TableContents"/>
              <w:bidi w:val="0"/>
              <w:spacing w:before="0" w:after="283"/>
              <w:jc w:val="left"/>
              <w:rPr/>
            </w:pPr>
            <w:hyperlink r:id="rId9">
              <w:r>
                <w:rPr>
                  <w:rStyle w:val="InternetLink"/>
                  <w:rFonts w:ascii="Times New Roman" w:hAnsi="Times New Roman"/>
                  <w:color w:val="0000FF"/>
                  <w:sz w:val="20"/>
                  <w:u w:val="single"/>
                </w:rPr>
                <w:t>333-256795) filed with the SEC on June 4, 2021).</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kno-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kno-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kno-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Non-material schedules and exhibits have been omitted pursuant to Item 601(a)(5) of Regulation S-K. The Registrant hereby undertakes to furnish supplemental copies of any of the omitted Schedules and exhibits upon request by the SEC.</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1846"/>
        <w:gridCol w:w="109"/>
        <w:gridCol w:w="406"/>
        <w:gridCol w:w="337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ALPHA TEKNOVA,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GUNSTREAM</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Gunstream</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President and 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LOWELL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Matthew Lowell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bookmarkStart w:id="21" w:name="tkno-ex31_1.htm"/>
      <w:bookmarkStart w:id="22" w:name="kstkno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Stephen Gunstream,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Alpha Teknova,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GUNSTREAM</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Gunstream</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tkno-ex31_2.htm"/>
      <w:bookmarkStart w:id="24" w:name="kstkno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Matthew Lowell,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Alpha Teknova,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27" w:type="dxa"/>
        <w:jc w:val="left"/>
        <w:tblInd w:w="0" w:type="dxa"/>
        <w:tblLayout w:type="fixed"/>
        <w:tblCellMar>
          <w:top w:w="28" w:type="dxa"/>
          <w:left w:w="28" w:type="dxa"/>
          <w:bottom w:w="28" w:type="dxa"/>
          <w:right w:w="28" w:type="dxa"/>
        </w:tblCellMar>
      </w:tblPr>
      <w:tblGrid>
        <w:gridCol w:w="1846"/>
        <w:gridCol w:w="109"/>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LOWELL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Matthew Lowell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tkno-ex32_1.htm"/>
      <w:bookmarkStart w:id="26" w:name="kstkno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Alpha Teknova,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GUNSTREAM</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Gunstream</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jc w:val="center"/>
              <w:rPr>
                <w:rFonts w:ascii="Times New Roman" w:hAnsi="Times New Roman"/>
                <w:b/>
                <w:color w:val="000000"/>
                <w:sz w:val="20"/>
              </w:rPr>
            </w:pPr>
            <w:r>
              <w:rPr>
                <w:rFonts w:ascii="Times New Roman" w:hAnsi="Times New Roman"/>
                <w:b/>
                <w:color w:val="000000"/>
                <w:sz w:val="20"/>
              </w:rPr>
              <w:t>(Principal Executive Officer)</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bl>
    <w:p>
      <w:pPr>
        <w:pStyle w:val="TextBody"/>
        <w:bidi w:val="0"/>
        <w:jc w:val="left"/>
        <w:rPr/>
      </w:pPr>
      <w:r>
        <w:rPr/>
        <w:t> </w:t>
      </w:r>
    </w:p>
    <w:tbl>
      <w:tblPr>
        <w:tblW w:w="4927" w:type="dxa"/>
        <w:jc w:val="left"/>
        <w:tblInd w:w="0" w:type="dxa"/>
        <w:tblLayout w:type="fixed"/>
        <w:tblCellMar>
          <w:top w:w="28" w:type="dxa"/>
          <w:left w:w="28" w:type="dxa"/>
          <w:bottom w:w="28" w:type="dxa"/>
          <w:right w:w="28" w:type="dxa"/>
        </w:tblCellMar>
      </w:tblPr>
      <w:tblGrid>
        <w:gridCol w:w="1846"/>
        <w:gridCol w:w="109"/>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LOWELL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Matthew Lowell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jc w:val="center"/>
              <w:rPr>
                <w:rFonts w:ascii="Times New Roman" w:hAnsi="Times New Roman"/>
                <w:b/>
                <w:color w:val="000000"/>
                <w:sz w:val="20"/>
              </w:rPr>
            </w:pPr>
            <w:r>
              <w:rPr>
                <w:rFonts w:ascii="Times New Roman" w:hAnsi="Times New Roman"/>
                <w:b/>
                <w:color w:val="000000"/>
                <w:sz w:val="20"/>
              </w:rPr>
              <w:t>(Principal Financial Officer)</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0902/000119312521203268/d179312dex31.htm" TargetMode="External"/><Relationship Id="rId3" Type="http://schemas.openxmlformats.org/officeDocument/2006/relationships/hyperlink" Target="https://www.sec.gov/Archives/edgar/data/1850902/000119312521203268/d179312dex32.htm" TargetMode="External"/><Relationship Id="rId4" Type="http://schemas.openxmlformats.org/officeDocument/2006/relationships/hyperlink" Target="https://www.sec.gov/Archives/edgar/data/1850902/000119312521203268/d179312dex32.htm" TargetMode="External"/><Relationship Id="rId5" Type="http://schemas.openxmlformats.org/officeDocument/2006/relationships/hyperlink" Target="https://www.sec.gov/Archives/edgar/data/1850902/000119312521194075/d83801dex41.htm" TargetMode="External"/><Relationship Id="rId6" Type="http://schemas.openxmlformats.org/officeDocument/2006/relationships/hyperlink" Target="https://www.sec.gov/Archives/edgar/data/1850902/000119312521194075/d83801dex41.htm" TargetMode="External"/><Relationship Id="rId7" Type="http://schemas.openxmlformats.org/officeDocument/2006/relationships/hyperlink" Target="https://www.sec.gov/Archives/edgar/data/1850902/000119312521182919/d83801dex42.htm" TargetMode="External"/><Relationship Id="rId8" Type="http://schemas.openxmlformats.org/officeDocument/2006/relationships/hyperlink" Target="https://www.sec.gov/Archives/edgar/data/1850902/000119312521182919/d83801dex42.htm" TargetMode="External"/><Relationship Id="rId9" Type="http://schemas.openxmlformats.org/officeDocument/2006/relationships/hyperlink" Target="https://www.sec.gov/Archives/edgar/data/1850902/000119312521182919/d83801dex4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16201</Words>
  <Characters>86221</Characters>
  <CharactersWithSpaces>103263</CharactersWithSpaces>
  <Paragraphs>5606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