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ALPHA TEKNOVA,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001-40538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94-3368109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2290 Bert Drive</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Hollister, CA 95023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(831) 637-1100</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TKNO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On November 10, 2021, Alpha Teknova, Inc. (the “Company”) issued a press release announcing its financial results for the quarter ended September 30, 2021 (the “Press Release”). A copy of the Press Release is attached hereto as Exhibit 99.1 and is incorporated herein by reference. The information in this Item 2.02, including the Press Release, is intended to be furnished under Item 2.02 and Item 9.01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Alpha Teknova, Inc., dated November 10, 2021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ALPHA TEKNOVA,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Gunstream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Gunstream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248920</wp:posOffset>
            </wp:positionV>
            <wp:extent cx="161163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Teknova Reports Third Quarter 2021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$9.4 million in total revenue, up 5% year-over-year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Excluding Sample Transport, total revenue was $9.3 million, up 26% year-over-year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cash position of $98.0 million supports investment in long-term growth strategy</w:t>
      </w:r>
    </w:p>
    <w:p>
      <w:pPr>
        <w:spacing w:after="0" w:line="207"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 xml:space="preserve">HOLLISTER, Calif., November 10, 2021 </w:t>
      </w:r>
      <w:r>
        <w:rPr>
          <w:rFonts w:ascii="Arial" w:cs="Arial" w:eastAsia="Arial" w:hAnsi="Arial"/>
          <w:sz w:val="18"/>
          <w:szCs w:val="18"/>
          <w:color w:val="auto"/>
        </w:rPr>
        <w:t>– Alpha Teknova, Inc. (“Teknova”) (Nasdaq: TKNO), a leading provider of critical reagents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production of biopharmaceutical products, including drug therapies, novel vaccines, and molecular diagnostics, today announced financial results for the third quarter ended September 30, 2021.</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“Teknova performed very well during the third quarter of 2021. We met robust customer demand for our Lab Essentials and Clinical Solutions products and made meaningful progress in advancing our strategic priorities, including investing in our manufacturing capacity and successfully recruiting priority leadership hires,” said Stephen Gunstream, President and CEO of Teknova. “We remain focused on both near-term execution and the laying of the foundation for our long-term growth opportunities.”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Financial Updates</w:t>
      </w:r>
    </w:p>
    <w:p>
      <w:pPr>
        <w:spacing w:after="0" w:line="135" w:lineRule="exact"/>
        <w:rPr>
          <w:sz w:val="20"/>
          <w:szCs w:val="20"/>
          <w:color w:val="auto"/>
        </w:rPr>
      </w:pPr>
    </w:p>
    <w:p>
      <w:pPr>
        <w:ind w:left="420" w:right="38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third quarter 2021 revenue of $9.4 million, up 5% as compared to $9.0 million in the third quarter 2020 and up 26% as compared to $7.4 million in the third quarter 2020, when Sample Transport is excluded</w:t>
      </w:r>
    </w:p>
    <w:p>
      <w:pPr>
        <w:spacing w:after="0" w:line="75" w:lineRule="exact"/>
        <w:rPr>
          <w:rFonts w:ascii="Arial" w:cs="Arial" w:eastAsia="Arial" w:hAnsi="Arial"/>
          <w:sz w:val="18"/>
          <w:szCs w:val="18"/>
          <w:color w:val="auto"/>
        </w:rPr>
      </w:pPr>
    </w:p>
    <w:p>
      <w:pPr>
        <w:ind w:left="420" w:right="52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Invested in manufacturing capacity expansion in existing facilities and construction of a new, state-of-the art GMP manufacturing facility in Hollister, California, including new hires with process development and automation expertise</w:t>
      </w:r>
    </w:p>
    <w:p>
      <w:pPr>
        <w:spacing w:after="0" w:line="75" w:lineRule="exact"/>
        <w:rPr>
          <w:rFonts w:ascii="Arial" w:cs="Arial" w:eastAsia="Arial" w:hAnsi="Arial"/>
          <w:sz w:val="18"/>
          <w:szCs w:val="18"/>
          <w:color w:val="auto"/>
        </w:rPr>
      </w:pPr>
    </w:p>
    <w:p>
      <w:pPr>
        <w:ind w:left="420" w:right="16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the Company’s leadership team in November by appointing two key commercial roles, Ken Gelhaus as Chief Commercial Officer and Jennifer Henry as SVP, Marketing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for the Third Quarter and Year-to-Date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23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i w:val="1"/>
                <w:iCs w:val="1"/>
                <w:color w:val="auto"/>
              </w:rPr>
              <w:t>$000s</w:t>
            </w:r>
          </w:p>
        </w:tc>
        <w:tc>
          <w:tcPr>
            <w:tcW w:w="2940" w:type="dxa"/>
            <w:vAlign w:val="bottom"/>
          </w:tcPr>
          <w:p>
            <w:pPr>
              <w:spacing w:after="0"/>
              <w:rPr>
                <w:sz w:val="12"/>
                <w:szCs w:val="12"/>
                <w:color w:val="auto"/>
              </w:rPr>
            </w:pPr>
          </w:p>
        </w:tc>
        <w:tc>
          <w:tcPr>
            <w:tcW w:w="234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September 30, 2021</w:t>
            </w:r>
          </w:p>
        </w:tc>
        <w:tc>
          <w:tcPr>
            <w:tcW w:w="2360" w:type="dxa"/>
            <w:vAlign w:val="bottom"/>
            <w:gridSpan w:val="6"/>
          </w:tcPr>
          <w:p>
            <w:pPr>
              <w:jc w:val="right"/>
              <w:ind w:right="720"/>
              <w:spacing w:after="0" w:line="149" w:lineRule="exact"/>
              <w:rPr>
                <w:sz w:val="20"/>
                <w:szCs w:val="20"/>
                <w:color w:val="auto"/>
              </w:rPr>
            </w:pPr>
            <w:r>
              <w:rPr>
                <w:rFonts w:ascii="Arial" w:cs="Arial" w:eastAsia="Arial" w:hAnsi="Arial"/>
                <w:sz w:val="14"/>
                <w:szCs w:val="14"/>
                <w:b w:val="1"/>
                <w:bCs w:val="1"/>
                <w:color w:val="auto"/>
              </w:rPr>
              <w:t>September 30, 2021</w:t>
            </w:r>
          </w:p>
        </w:tc>
      </w:tr>
      <w:tr>
        <w:trPr>
          <w:trHeight w:val="171"/>
        </w:trPr>
        <w:tc>
          <w:tcPr>
            <w:tcW w:w="3380" w:type="dxa"/>
            <w:vAlign w:val="bottom"/>
          </w:tcPr>
          <w:p>
            <w:pPr>
              <w:spacing w:after="0"/>
              <w:rPr>
                <w:sz w:val="20"/>
                <w:szCs w:val="20"/>
                <w:color w:val="auto"/>
              </w:rPr>
            </w:pPr>
            <w:r>
              <w:rPr>
                <w:rFonts w:ascii="Arial" w:cs="Arial" w:eastAsia="Arial" w:hAnsi="Arial"/>
                <w:sz w:val="14"/>
                <w:szCs w:val="14"/>
                <w:i w:val="1"/>
                <w:iCs w:val="1"/>
                <w:color w:val="auto"/>
              </w:rPr>
              <w:t>Unaudited</w:t>
            </w:r>
          </w:p>
        </w:tc>
        <w:tc>
          <w:tcPr>
            <w:tcW w:w="34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i w:val="1"/>
                <w:iCs w:val="1"/>
                <w:color w:val="auto"/>
                <w:w w:val="92"/>
              </w:rPr>
              <w:t>Inc/Dec</w:t>
            </w: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i w:val="1"/>
                <w:iCs w:val="1"/>
                <w:color w:val="auto"/>
                <w:w w:val="92"/>
              </w:rPr>
              <w:t>Inc/Dec</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Lab Essentials</w:t>
            </w:r>
          </w:p>
        </w:tc>
        <w:tc>
          <w:tcPr>
            <w:tcW w:w="3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7,195</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5,815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24%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20,440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15,494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32%</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Clinical Solutions</w:t>
            </w:r>
          </w:p>
        </w:tc>
        <w:tc>
          <w:tcPr>
            <w:tcW w:w="3640" w:type="dxa"/>
            <w:vAlign w:val="bottom"/>
            <w:gridSpan w:val="3"/>
          </w:tcPr>
          <w:p>
            <w:pPr>
              <w:jc w:val="right"/>
              <w:ind w:right="240"/>
              <w:spacing w:after="0"/>
              <w:rPr>
                <w:sz w:val="20"/>
                <w:szCs w:val="20"/>
                <w:color w:val="auto"/>
              </w:rPr>
            </w:pPr>
            <w:r>
              <w:rPr>
                <w:rFonts w:ascii="Arial" w:cs="Arial" w:eastAsia="Arial" w:hAnsi="Arial"/>
                <w:sz w:val="18"/>
                <w:szCs w:val="18"/>
                <w:color w:val="auto"/>
              </w:rPr>
              <w:t>1,690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1,354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25%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4,354</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3,141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39%</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Sample Transport</w:t>
            </w:r>
          </w:p>
        </w:tc>
        <w:tc>
          <w:tcPr>
            <w:tcW w:w="3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1,593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(95%)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(41%)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95%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954</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738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29%</w:t>
            </w:r>
          </w:p>
        </w:tc>
      </w:tr>
      <w:tr>
        <w:trPr>
          <w:trHeight w:val="27"/>
        </w:trPr>
        <w:tc>
          <w:tcPr>
            <w:tcW w:w="3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9,392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8,984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i w:val="1"/>
                <w:iCs w:val="1"/>
                <w:color w:val="auto"/>
              </w:rPr>
              <w:t>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26,783</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21,140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27%</w:t>
            </w:r>
          </w:p>
        </w:tc>
      </w:tr>
      <w:tr>
        <w:trPr>
          <w:trHeight w:val="729"/>
        </w:trPr>
        <w:tc>
          <w:tcPr>
            <w:tcW w:w="3380" w:type="dxa"/>
            <w:vAlign w:val="bottom"/>
          </w:tcPr>
          <w:p>
            <w:pPr>
              <w:spacing w:after="0"/>
              <w:rPr>
                <w:sz w:val="24"/>
                <w:szCs w:val="24"/>
                <w:color w:val="auto"/>
              </w:rPr>
            </w:pPr>
          </w:p>
        </w:tc>
        <w:tc>
          <w:tcPr>
            <w:tcW w:w="2940" w:type="dxa"/>
            <w:vAlign w:val="bottom"/>
          </w:tcPr>
          <w:p>
            <w:pPr>
              <w:jc w:val="right"/>
              <w:ind w:right="694"/>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2021 Financial Highlights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revenues for the third quarter 2021 were $9.4 million, a 5% increase from $9.0 million in the third quarter 2020. Excluding Sample Transport, revenues for the third quarter 2021 were $9.3 million, a 26% increase from $7.4 million in the third quarter 2020.</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Gross profit for the third quarter 2021 was $4.3 million, compared to $5.1 million in the third quarter 2020. Gross margin for the third quarter 2021 was 45.4% of revenue, compared to 56.6% of revenue in the third quarter 2020. The Company continued to make investments in manufacturing capacity and related infrastructure in anticipation of increases in future demand, which negatively impacted gross margins in 2021.</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Operating expenses for the third quarter 2021 were $8.2 million, compared to $2.9 million in the third quarter 2020. The increase was driven by new hires in the research and development, sales and marketing, and general and administrative functions needed to support new product development efforts, develop commercial presence and improve customer support, and to build the infrastructure necessary to support the Company’s growth strategy.</w:t>
      </w:r>
    </w:p>
    <w:p>
      <w:pPr>
        <w:spacing w:after="0" w:line="1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loss attributable to common stockholders for the third quarter 2021 was $3.3 million, or $0.12 per share, compared to net income attributable to common stockholders of $0.3 million, or $0.07 per share, for the third quarter 2020.</w:t>
      </w:r>
    </w:p>
    <w:p>
      <w:pPr>
        <w:spacing w:after="0" w:line="170"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Adjusted EBITDA for the third quarter 2021 was negative $2.7 million, compared to positive $2.7 million for the third quarter 2020. Adjusted Free Cash Flow was negative $6.6 million in the third quarter 2021, compared to positive $1.7 million the third quarter 2020, reflecting continued capital investment in manufacturing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had $98.0 million in cash and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 xml:space="preserve">Teknova will host a webcast and conference call today, Wednesday, November 10, 2021, beginning at 4:30 p.m. ET. Participants may access the live webcast on the Investor Relations section of the Teknova website, </w:t>
      </w:r>
      <w:r>
        <w:rPr>
          <w:rFonts w:ascii="Arial" w:cs="Arial" w:eastAsia="Arial" w:hAnsi="Arial"/>
          <w:sz w:val="16"/>
          <w:szCs w:val="16"/>
          <w:u w:val="single" w:color="auto"/>
          <w:color w:val="auto"/>
        </w:rPr>
        <w:t>https://www.teknova.com</w:t>
      </w:r>
      <w:r>
        <w:rPr>
          <w:rFonts w:ascii="Arial" w:cs="Arial" w:eastAsia="Arial" w:hAnsi="Arial"/>
          <w:sz w:val="16"/>
          <w:szCs w:val="16"/>
          <w:color w:val="auto"/>
        </w:rPr>
        <w:t xml:space="preserve">, and at this link: </w:t>
      </w:r>
      <w:r>
        <w:rPr>
          <w:rFonts w:ascii="Arial" w:cs="Arial" w:eastAsia="Arial" w:hAnsi="Arial"/>
          <w:sz w:val="16"/>
          <w:szCs w:val="16"/>
          <w:u w:val="single" w:color="auto"/>
          <w:color w:val="auto"/>
        </w:rPr>
        <w:t>https://edge.media-server.com/mmc/p/vjhnni3v</w:t>
      </w:r>
      <w:r>
        <w:rPr>
          <w:rFonts w:ascii="Arial" w:cs="Arial" w:eastAsia="Arial" w:hAnsi="Arial"/>
          <w:sz w:val="16"/>
          <w:szCs w:val="16"/>
          <w:color w:val="auto"/>
        </w:rPr>
        <w:t>. The conference call can be accessed by dialing 877-312-1451 for domestic callers and 470-495-9521 for international callers. The conference ID number is 5889934. A replay will be available for 30 days on the Investor Relations section of the Teknova website.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Teknova</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Teknova is expediting clinical breakthroughs in the life sciences by providing custom products and reagents for bioprocessing, bioproduction, and molecular diagnostics. With a focus on agility and customization, Teknova delivers research-grade and GMP products, including cell culture media and supplements, protein and nucleic acid purification buffers, and molecular biology reagents for a multitude of established and emerging applications, including cell and gene therapy, mRNA therapeutics, genomics, and synthetic biology. Teknova’s proprietary processes enable the manufacture and delivery of high quality, custom, made-to-order products on short turnaround times and at scale across all stages of development, including commercialization.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press release contains financial measures that have not been calculated in accordance with U.S. generally accepted accounting principles (GAAP).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Teknova uses the following non-GAAP financial measures in assessing the performance of our business and the effectiveness of our business strategies: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Adjusted EBITDA and (b) Adjusted Free Cash Flow.</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Teknova defines Adjusted EBITDA as net income (loss) adjusted for interest expense, provision for income taxes, depreciation expense, amortization of intangible assets, and stock-based compensation expense. Adjusted EBITDA reflects further adjustments to eliminate the impact of certain items, including certain non-cash and other items that we do not consider representative of our ongoing operating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Teknova defines Adjusted Free Cash Flow as Adjusted EBITDA less capital expenditures.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Teknova presents Adjusted EBITDA and Adjusted Free Cash Flow in this press release because Teknova believes analysts, investors, and other interested parties frequently use these measures to evaluate companies in our industry and that such measures facilitate comparisons on a consistent basis across reporting periods. Further, Teknova believes such measures are helpful in highlighting trends in our operating results because they exclude items that are not indicative of our core operating performance.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Adjusted EBITDA and Adjusted Free Cash Flow have limitations as analytical tools and you should not consider them in isolation or as substitutes for analysis of our results as reported under GAAP. Teknova may in the future incur expenses similar to the adjustments in the presentation of Adjusted EBITDA. In particular, Teknova expects to incur meaningful share-based compensation expense in the future. Other limitations include the following, which Adjusted EBITDA and Adjusted Free Cash Flow do not reflect:</w:t>
      </w:r>
    </w:p>
    <w:p>
      <w:pPr>
        <w:spacing w:after="0" w:line="92" w:lineRule="exact"/>
        <w:rPr>
          <w:sz w:val="20"/>
          <w:szCs w:val="20"/>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30" w:lineRule="exact"/>
        <w:rPr>
          <w:rFonts w:ascii="Arial" w:cs="Arial" w:eastAsia="Arial" w:hAnsi="Arial"/>
          <w:sz w:val="18"/>
          <w:szCs w:val="18"/>
          <w:color w:val="auto"/>
        </w:rPr>
      </w:pPr>
    </w:p>
    <w:p>
      <w:pPr>
        <w:jc w:val="center"/>
        <w:ind w:left="5460" w:right="680" w:hanging="5356"/>
        <w:spacing w:after="0" w:line="449" w:lineRule="auto"/>
        <w:tabs>
          <w:tab w:leader="none" w:pos="42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earnings or charges resulting from matters we consider not to be reflective, on a recurring basis, of our ongoing operations. 3</w:t>
      </w:r>
    </w:p>
    <w:p>
      <w:pPr>
        <w:sectPr>
          <w:pgSz w:w="11900" w:h="16838" w:orient="portrait"/>
          <w:cols w:equalWidth="0" w:num="1">
            <w:col w:w="10960"/>
          </w:cols>
          <w:pgMar w:left="440" w:top="270" w:right="499" w:bottom="1440" w:gutter="0" w:footer="0" w:header="0"/>
        </w:sectPr>
      </w:pPr>
    </w:p>
    <w:bookmarkStart w:id="6" w:name="page7"/>
    <w:bookmarkEnd w:id="6"/>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Adjusted EBITDA and Adjusted Free Cash Flow may not be comparable to similarly titled measures used by other companies in our industry or across different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full reconciliation of these non-GAAP measures to the most comparable GAAP measures is included at the end of this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These statements include, but are not limited to, statements relating to our long-term growth strategy, demand for our products, expansion of our production capacity and commercial and R&amp;D capabilities.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These forward-looking statements are based on management’s current expectations and beliefs and are subject to uncertainties and factors, all of which are difficult to predict and many of which are beyond our control and could cause actual results to differ materially and adversely from those described in the forward-looking statements. These risks include, but are not limited to, those related to our cash flows and revenue growth rate; our supply chain, sourcing, manufacturing and warehousing; inventory management; risks related to global economic and marketplace uncertainties related to the impact of the COVID-19 pandemic; reliance on a limited number of customers for a high percentage of our revenue; acquisitions of other companies and other factors discussed in the “Risk Factors” section of our most recent periodic reports filed with the Securities and Exchange Commission (“SEC”), including in our final prospectus filed with the SEC pursuant to Rule 424(b) under the Securities Act of 1933, as amended, on June 25, 2021, all of which you may obtain for free on the SEC’s website at www.sec.gov. 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 Lowell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matt.lowell@teknova.com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+1 831-216-1830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Sara Michelmore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MacDougall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smichelmore@macbiocom.com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+1 781-235-3060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Corcoran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MacDougall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mcorcoran@macbiocom.com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+1 617-866-7350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ALPHA TEKNOVA,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8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98,013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Short-term investments – marketable securities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4,558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4,403</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2,914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111,079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16,414</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22,451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16,613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18,991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19,852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4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169,163</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CONVERTIBLE AND REDEEMABLE PREFERRED STOCK AND STOCKHOLDERS’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2,883</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6,204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4,350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5,990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11,826</w:t>
            </w: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84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22,937</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Convertible and redeemable preferred stock</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35,638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150,117</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 retained earnings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(3,891)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146,226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16,767</w:t>
            </w:r>
          </w:p>
        </w:tc>
        <w:tc>
          <w:tcPr>
            <w:tcW w:w="0" w:type="dxa"/>
            <w:vAlign w:val="bottom"/>
          </w:tcPr>
          <w:p>
            <w:pPr>
              <w:spacing w:after="0"/>
              <w:rPr>
                <w:sz w:val="1"/>
                <w:szCs w:val="1"/>
                <w:color w:val="auto"/>
              </w:rPr>
            </w:pPr>
          </w:p>
        </w:tc>
      </w:tr>
      <w:tr>
        <w:trPr>
          <w:trHeight w:val="223"/>
        </w:trPr>
        <w:tc>
          <w:tcPr>
            <w:tcW w:w="8440" w:type="dxa"/>
            <w:vAlign w:val="bottom"/>
          </w:tcPr>
          <w:p>
            <w:pPr>
              <w:ind w:left="720"/>
              <w:spacing w:after="0"/>
              <w:rPr>
                <w:sz w:val="20"/>
                <w:szCs w:val="20"/>
                <w:color w:val="auto"/>
              </w:rPr>
            </w:pPr>
            <w:r>
              <w:rPr>
                <w:rFonts w:ascii="Arial" w:cs="Arial" w:eastAsia="Arial" w:hAnsi="Arial"/>
                <w:sz w:val="18"/>
                <w:szCs w:val="18"/>
                <w:color w:val="auto"/>
              </w:rPr>
              <w:t>Total liabilities, convertible and redeemable preferred stock and stockholders’ equity</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169,163</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ALPHA TEKNOVA,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4"/>
                <w:szCs w:val="14"/>
                <w:color w:val="auto"/>
              </w:rPr>
            </w:pPr>
          </w:p>
        </w:tc>
        <w:tc>
          <w:tcPr>
            <w:tcW w:w="22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4"/>
                <w:szCs w:val="14"/>
                <w:color w:val="auto"/>
              </w:rPr>
            </w:pPr>
          </w:p>
        </w:tc>
        <w:tc>
          <w:tcPr>
            <w:tcW w:w="22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Cost of sales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14,141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12,186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300" w:type="dxa"/>
            <w:vAlign w:val="bottom"/>
          </w:tcPr>
          <w:p>
            <w:pPr>
              <w:ind w:left="720"/>
              <w:spacing w:after="0"/>
              <w:rPr>
                <w:sz w:val="20"/>
                <w:szCs w:val="20"/>
                <w:color w:val="auto"/>
              </w:rPr>
            </w:pPr>
            <w:r>
              <w:rPr>
                <w:rFonts w:ascii="Arial" w:cs="Arial" w:eastAsia="Arial" w:hAnsi="Arial"/>
                <w:sz w:val="18"/>
                <w:szCs w:val="18"/>
                <w:color w:val="auto"/>
              </w:rPr>
              <w:t>Total other income (expenses), net</w:t>
            </w:r>
          </w:p>
        </w:tc>
        <w:tc>
          <w:tcPr>
            <w:tcW w:w="7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(Benefit from) provision for income taxes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w w:val="96"/>
              </w:rPr>
              <w:t>Less: undistributed income attributable to preferred stockholders</w:t>
            </w:r>
          </w:p>
        </w:tc>
        <w:tc>
          <w:tcPr>
            <w:tcW w:w="7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income attributable to common stockholders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Net (loss) income per share attributable to common stockholders</w:t>
            </w: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shares used in computing net (loss) income per share</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Basic</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28,011,917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3,599,232</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12,069,214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3,599,232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28,011,917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3,647,675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12,069,214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3,632,321</w:t>
            </w:r>
          </w:p>
        </w:tc>
        <w:tc>
          <w:tcPr>
            <w:tcW w:w="0" w:type="dxa"/>
            <w:vAlign w:val="bottom"/>
          </w:tcPr>
          <w:p>
            <w:pPr>
              <w:spacing w:after="0"/>
              <w:rPr>
                <w:sz w:val="1"/>
                <w:szCs w:val="1"/>
                <w:color w:val="auto"/>
              </w:rPr>
            </w:pPr>
          </w:p>
        </w:tc>
      </w:tr>
      <w:tr>
        <w:trPr>
          <w:trHeight w:val="365"/>
        </w:trPr>
        <w:tc>
          <w:tcPr>
            <w:tcW w:w="5300" w:type="dxa"/>
            <w:vAlign w:val="bottom"/>
          </w:tcPr>
          <w:p>
            <w:pPr>
              <w:spacing w:after="0"/>
              <w:rPr>
                <w:sz w:val="24"/>
                <w:szCs w:val="24"/>
                <w:color w:val="auto"/>
              </w:rPr>
            </w:pP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ALPHA TEKNOVA,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23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60" w:type="dxa"/>
            <w:vAlign w:val="bottom"/>
          </w:tcPr>
          <w:p>
            <w:pPr>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20"/>
                <w:szCs w:val="20"/>
                <w:color w:val="auto"/>
              </w:rPr>
              <w:t>(6,156)</w:t>
            </w:r>
          </w:p>
        </w:tc>
        <w:tc>
          <w:tcPr>
            <w:tcW w:w="200" w:type="dxa"/>
            <w:vAlign w:val="bottom"/>
          </w:tcPr>
          <w:p>
            <w:pPr>
              <w:jc w:val="right"/>
              <w:ind w:right="1"/>
              <w:spacing w:after="0"/>
              <w:rPr>
                <w:sz w:val="20"/>
                <w:szCs w:val="20"/>
                <w:color w:val="auto"/>
              </w:rPr>
            </w:pPr>
            <w:r>
              <w:rPr>
                <w:rFonts w:ascii="Arial" w:cs="Arial" w:eastAsia="Arial" w:hAnsi="Arial"/>
                <w:sz w:val="20"/>
                <w:szCs w:val="20"/>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20"/>
                <w:szCs w:val="20"/>
                <w:color w:val="auto"/>
              </w:rPr>
              <w:t>2,993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Bad debt expense</w:t>
            </w:r>
          </w:p>
        </w:tc>
        <w:tc>
          <w:tcPr>
            <w:tcW w:w="2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(1,640)</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Loss on disposal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(1,497)</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Arial" w:cs="Arial" w:eastAsia="Arial" w:hAnsi="Arial"/>
                <w:sz w:val="18"/>
                <w:szCs w:val="18"/>
                <w:color w:val="auto"/>
              </w:rPr>
              <w:t>Accounts payable, accrued liabilities, and other current and non-current liabilities</w:t>
            </w:r>
          </w:p>
        </w:tc>
        <w:tc>
          <w:tcPr>
            <w:tcW w:w="2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660" w:type="dxa"/>
            <w:vAlign w:val="bottom"/>
          </w:tcPr>
          <w:p>
            <w:pPr>
              <w:ind w:left="1080"/>
              <w:spacing w:after="0"/>
              <w:rPr>
                <w:sz w:val="20"/>
                <w:szCs w:val="20"/>
                <w:color w:val="auto"/>
              </w:rPr>
            </w:pPr>
            <w:r>
              <w:rPr>
                <w:rFonts w:ascii="Arial" w:cs="Arial" w:eastAsia="Arial" w:hAnsi="Arial"/>
                <w:sz w:val="18"/>
                <w:szCs w:val="18"/>
                <w:color w:val="auto"/>
              </w:rPr>
              <w:t>Cash (used in) provided by operating activities</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(12,465)</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loan to related party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Purchase of short-term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sales of short-term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Proceeds from maturities of short-term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 (used in) provided by investing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(10,109)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11,890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long-term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Indemnity holdback release</w:t>
            </w:r>
          </w:p>
        </w:tc>
        <w:tc>
          <w:tcPr>
            <w:tcW w:w="2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issuance costs for initial public offering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Arial" w:cs="Arial" w:eastAsia="Arial" w:hAnsi="Arial"/>
                <w:sz w:val="18"/>
                <w:szCs w:val="18"/>
                <w:color w:val="auto"/>
              </w:rPr>
              <w:t>Proceeds from initial public offering, net of underwriters’ commissions and discounts</w:t>
            </w:r>
          </w:p>
        </w:tc>
        <w:tc>
          <w:tcPr>
            <w:tcW w:w="2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102,672</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 provided by (used in)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110,794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94,698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98,013</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ind w:left="546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ALPHA TEKNOVA,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Non-GAAP Measures to the Most Comparable GAAP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5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6"/>
              </w:rPr>
              <w:t>For the Three Months</w:t>
            </w:r>
          </w:p>
        </w:tc>
        <w:tc>
          <w:tcPr>
            <w:tcW w:w="80" w:type="dxa"/>
            <w:vAlign w:val="bottom"/>
          </w:tcPr>
          <w:p>
            <w:pPr>
              <w:spacing w:after="0"/>
              <w:rPr>
                <w:sz w:val="14"/>
                <w:szCs w:val="14"/>
                <w:color w:val="auto"/>
              </w:rPr>
            </w:pPr>
          </w:p>
        </w:tc>
        <w:tc>
          <w:tcPr>
            <w:tcW w:w="15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8"/>
              </w:rPr>
              <w:t>For the Nine Months</w:t>
            </w:r>
          </w:p>
        </w:tc>
      </w:tr>
      <w:tr>
        <w:trPr>
          <w:trHeight w:val="171"/>
        </w:trPr>
        <w:tc>
          <w:tcPr>
            <w:tcW w:w="7820" w:type="dxa"/>
            <w:vAlign w:val="bottom"/>
          </w:tcPr>
          <w:p>
            <w:pPr>
              <w:spacing w:after="0"/>
              <w:rPr>
                <w:sz w:val="14"/>
                <w:szCs w:val="14"/>
                <w:color w:val="auto"/>
              </w:rPr>
            </w:pPr>
          </w:p>
        </w:tc>
        <w:tc>
          <w:tcPr>
            <w:tcW w:w="15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Ended September 30,</w:t>
            </w:r>
          </w:p>
        </w:tc>
        <w:tc>
          <w:tcPr>
            <w:tcW w:w="80" w:type="dxa"/>
            <w:vAlign w:val="bottom"/>
          </w:tcPr>
          <w:p>
            <w:pPr>
              <w:spacing w:after="0"/>
              <w:rPr>
                <w:sz w:val="14"/>
                <w:szCs w:val="14"/>
                <w:color w:val="auto"/>
              </w:rPr>
            </w:pPr>
          </w:p>
        </w:tc>
        <w:tc>
          <w:tcPr>
            <w:tcW w:w="15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Ended September 30,</w:t>
            </w:r>
          </w:p>
        </w:tc>
      </w:tr>
      <w:tr>
        <w:trPr>
          <w:trHeight w:val="142"/>
        </w:trPr>
        <w:tc>
          <w:tcPr>
            <w:tcW w:w="78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 as reported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(3,251)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2,993</w:t>
            </w:r>
          </w:p>
        </w:tc>
        <w:tc>
          <w:tcPr>
            <w:tcW w:w="12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Add back:</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(892)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861</w:t>
            </w:r>
          </w:p>
        </w:tc>
      </w:tr>
      <w:tr>
        <w:trPr>
          <w:trHeight w:val="27"/>
        </w:trPr>
        <w:tc>
          <w:tcPr>
            <w:tcW w:w="7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85"/>
              </w:rPr>
              <w:t>$ (3,140)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(5,143)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5,314</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Other and one-time expenses:</w:t>
            </w: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(2,698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(4,216</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5,345</w:t>
            </w:r>
          </w:p>
        </w:tc>
        <w:tc>
          <w:tcPr>
            <w:tcW w:w="120" w:type="dxa"/>
            <w:vAlign w:val="bottom"/>
          </w:tcPr>
          <w:p>
            <w:pPr>
              <w:spacing w:after="0"/>
              <w:rPr>
                <w:sz w:val="20"/>
                <w:szCs w:val="20"/>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(12,465)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(1,969)</w:t>
            </w:r>
          </w:p>
        </w:tc>
      </w:t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(6,605</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(16,681</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3,376</w:t>
            </w:r>
          </w:p>
        </w:tc>
        <w:tc>
          <w:tcPr>
            <w:tcW w:w="120" w:type="dxa"/>
            <w:vAlign w:val="bottom"/>
          </w:tcPr>
          <w:p>
            <w:pPr>
              <w:spacing w:after="0"/>
              <w:rPr>
                <w:sz w:val="20"/>
                <w:szCs w:val="20"/>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Add back: capital expenditures</w:t>
            </w: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12,465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1,969</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Less: total other and one time expenses</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total interest, taxes, depreciation and amortization Expenses</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(2,321)</w:t>
            </w:r>
          </w:p>
        </w:tc>
      </w:t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Net (loss) income – as reported</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(3,251</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(6,156</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2,993</w:t>
            </w:r>
          </w:p>
        </w:tc>
        <w:tc>
          <w:tcPr>
            <w:tcW w:w="120" w:type="dxa"/>
            <w:vAlign w:val="bottom"/>
          </w:tcPr>
          <w:p>
            <w:pPr>
              <w:spacing w:after="0"/>
              <w:rPr>
                <w:sz w:val="20"/>
                <w:szCs w:val="20"/>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income to net cash (used in) provided by operating activities, net</w:t>
            </w: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3,455</w:t>
            </w:r>
          </w:p>
        </w:tc>
      </w:tr>
      <w:tr>
        <w:trPr>
          <w:trHeight w:val="216"/>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(6,377)</w:t>
            </w:r>
          </w:p>
        </w:tc>
      </w:tr>
      <w:tr>
        <w:trPr>
          <w:trHeight w:val="27"/>
        </w:trPr>
        <w:tc>
          <w:tcPr>
            <w:tcW w:w="7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Cash (used in) provided by operating activities</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85"/>
              </w:rPr>
              <w:t>$ (4,837)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(1,625)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(5,987)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71</w:t>
            </w:r>
          </w:p>
        </w:tc>
      </w:tr>
      <w:tr>
        <w:trPr>
          <w:trHeight w:val="372"/>
        </w:trPr>
        <w:tc>
          <w:tcPr>
            <w:tcW w:w="7820" w:type="dxa"/>
            <w:vAlign w:val="bottom"/>
          </w:tcPr>
          <w:p>
            <w:pPr>
              <w:ind w:left="5460"/>
              <w:spacing w:after="0"/>
              <w:rPr>
                <w:sz w:val="20"/>
                <w:szCs w:val="20"/>
                <w:color w:val="auto"/>
              </w:rPr>
            </w:pPr>
            <w:r>
              <w:rPr>
                <w:rFonts w:ascii="Arial" w:cs="Arial" w:eastAsia="Arial" w:hAnsi="Arial"/>
                <w:sz w:val="18"/>
                <w:szCs w:val="18"/>
                <w:color w:val="auto"/>
              </w:rPr>
              <w:t>8</w:t>
            </w: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2021-11-10T15:29:17Z</dcterms:created>
  <dcterms:modified xsi:type="dcterms:W3CDTF">2021-11-10T15:29:17Z</dcterms:modified>
</cp:coreProperties>
</file>