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DEMSKI MARTHA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ALPHA TEKNOVA,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2451 BERT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HOLLISTER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Alpha Teknova, Inc.</w:t>
              </w:r>
            </w:hyperlink>
            <w:r>
              <w:rPr/>
              <w:t xml:space="preserve"> [ </w:t>
            </w:r>
            <w:r>
              <w:rPr>
                <w:rFonts w:ascii="Times;serif" w:hAnsi="Times;serif"/>
                <w:color w:val="0000FF"/>
                <w:sz w:val="24"/>
                <w:shd w:fill="FFFFFF" w:val="clear"/>
              </w:rPr>
              <w:t>TKNO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937"/>
        <w:gridCol w:w="461"/>
        <w:gridCol w:w="634"/>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rFonts w:ascii="Times;serif" w:hAnsi="Times;serif"/>
                <w:color w:val="008000"/>
                <w:position w:val="7"/>
                <w:sz w:val="16"/>
                <w:sz w:val="20"/>
                <w:shd w:fill="FFFFFF" w:val="clear"/>
              </w:rPr>
              <w:t>(2)</w:t>
            </w:r>
            <w:r>
              <w:rPr/>
              <w:t xml:space="preserve"> </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r>
              <w:rPr>
                <w:rFonts w:ascii="Times;serif" w:hAnsi="Times;serif"/>
                <w:color w:val="008000"/>
                <w:position w:val="7"/>
                <w:sz w:val="16"/>
                <w:sz w:val="20"/>
                <w:shd w:fill="FFFFFF" w:val="clear"/>
              </w:rPr>
              <w:t>(2)</w:t>
            </w:r>
            <w:r>
              <w:rPr/>
              <w:t xml:space="preserve"> </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12,000</w:t>
            </w:r>
            <w:r>
              <w:rPr>
                <w:rFonts w:ascii="Times;serif" w:hAnsi="Times;serif"/>
                <w:color w:val="008000"/>
                <w:position w:val="7"/>
                <w:sz w:val="16"/>
                <w:sz w:val="20"/>
                <w:shd w:fill="FFFFFF" w:val="clear"/>
              </w:rPr>
              <w:t>(3)</w:t>
            </w:r>
            <w:r>
              <w:rPr/>
              <w:t xml:space="preserve"> </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reflects the transfer of 12,000 shares of Common Stock from the Reporting Person's individual account to a trust for which the Reporting Person serves as trustee. No sale or other change in beneficial ownership occurred as a result of this transfer.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 consideration was paid or received in connection with this transaction, as it represents a personal transfer of shares between accounts controlled by the Reporting Person, and not an open-market or arms'-length transaction. Accordingly, no price is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trustee of the trust and retains sole voting and investment power over the shares held therein. The Reporting Person disclaims beneficial ownership of these shares except to the extent of her pecuniary interest therein, if applicable.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total number of shares of Common Stock held by the trust following the reported transaction. This is the first transaction reporting shares beneficially owned indirectly through this trust.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Damon A. Terrill For: Martha Demski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8230" TargetMode="External"/><Relationship Id="rId5" Type="http://schemas.openxmlformats.org/officeDocument/2006/relationships/hyperlink" Target="http://www.sec.gov/cgi-bin/browse-edgar?action=getcompany&amp;CIK=00018509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3976</Characters>
  <CharactersWithSpaces>4639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