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994d8k.htm"/>
      <w:bookmarkStart w:id="1" w:name="ksd1709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Alpha Teknova,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001-40538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94-3368109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2451 Bert Drive</w:t>
      </w:r>
    </w:p>
    <w:p>
      <w:pPr>
        <w:pStyle w:val="TextBody"/>
        <w:bidi w:val="0"/>
        <w:spacing w:before="0" w:after="0"/>
        <w:jc w:val="center"/>
        <w:rPr>
          <w:rFonts w:ascii="Times New Roman" w:hAnsi="Times New Roman"/>
          <w:b/>
          <w:sz w:val="20"/>
        </w:rPr>
      </w:pPr>
      <w:r>
        <w:rPr>
          <w:rFonts w:ascii="Times New Roman" w:hAnsi="Times New Roman"/>
          <w:b/>
          <w:sz w:val="20"/>
        </w:rPr>
        <w:t>Hollister, California 95023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(831) 637-1100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Exchange Act:</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385"/>
        <w:gridCol w:w="60"/>
        <w:gridCol w:w="710"/>
        <w:gridCol w:w="60"/>
        <w:gridCol w:w="305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par value $0.00001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TKNO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Alpha Teknova, Inc. (the “Company”) entered into an underwriting agreement (the “Underwriting Agreement”) with TD Securities (USA) LLC and William Blair &amp; Company, L.L.C. as the representatives of the several underwriters named therein (the “Underwriters”), relating to an underwritten public offering (the “Offering”) of an aggregate of 8,000,000 shares of the Company’s common stock (“Common Stock”). The public offering price is $5.00 per share of Common Stock and the Underwriters have agreed to purchase the shares of Common Stock pursuant to the Underwriting Agreement at a price of $4.70 per share of Common Stock. Under the terms of the Underwriting Agreement, the Company also granted to the Underwriters an option, exercisable in whole or in part at any time for a period of 30 days from the date of the Underwriting Agreement, to purchase up to 1,200,000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registration statement on Form S-3 (File No. 333-288613), previously filed with the Securities and Exchange Commission (the “SEC”) on July 10, 2025, and declared effective on July 16, 2025, a base prospectus dated July 16, 2025 and a prospectus supplement dated October 21, 2026. </w:t>
      </w:r>
    </w:p>
    <w:p>
      <w:pPr>
        <w:pStyle w:val="TextBody"/>
        <w:bidi w:val="0"/>
        <w:spacing w:before="240" w:after="0"/>
        <w:jc w:val="left"/>
        <w:rPr>
          <w:rFonts w:ascii="Times New Roman" w:hAnsi="Times New Roman"/>
          <w:sz w:val="20"/>
        </w:rPr>
      </w:pPr>
      <w:r>
        <w:rPr>
          <w:rFonts w:ascii="Times New Roman" w:hAnsi="Times New Roman"/>
          <w:sz w:val="20"/>
        </w:rPr>
        <w:t xml:space="preserve">Gross proceeds from the Offering will be $40 million, before deducting underwriting discounts and commissions and other offering expenses payable by the Company. The Company intends to use the net proceeds from the Offering for general corporate purposes, including potentially the repayment of outstanding debt obligations. The Company may use a portion of the net proceeds to acquire or invest in other businesses, products, and technologies that are complementary to its own, although the Company has no current commitments or arrangements to do so. The purchase and sale of the shares of Common Stock and the closing of the Offering, are expected to take place on or about October 22,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covenants made by the Company. It also provides for customary indemnification by each of the Company and the Underwriters, severally and not jointly, for losses or damages arising out of or in connection with the Offering, including for liabilities under the Securities Act of 1933, as amended, other obligations of the parties and termination provisions. In addition, pursuant to the terms of the Underwriting Agreement, each of the Company’s directors and executive officers has entered into “lock-up” agreements with TD Securities (USA) LLC and William Blair &amp; Company, L.L.C., which generally prohibit, without the prior written consent of TD Securities (USA) LLC and William Blair &amp; Company, L.L.C. and subject to certain exceptions, the sale, transfer or other disposition of securities of the Company prior to January 19, 2027.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 Accordingly, the Underwriting Agreement is incorporated herein by reference only to provide investors with information regarding the terms of the Underwriting Agreement, and not to provide investors with any other factual information regarding the Company or its business, and should be read in conjunction with the disclosures in the Company’s periodic reports and other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copy of the Underwriting Agreement, which is filed as Exhibit 1.1 to this Current Report on Form 8-K. A copy of the opinion of Paul Hastings LLP, counsel to the Company, relating to the validity of the shares of Common Stock to be issued in the Offering is filed herewith as Exhibit 5.1.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Financial Update </w:t>
      </w:r>
    </w:p>
    <w:p>
      <w:pPr>
        <w:pStyle w:val="TextBody"/>
        <w:bidi w:val="0"/>
        <w:spacing w:before="120" w:after="0"/>
        <w:jc w:val="left"/>
        <w:rPr>
          <w:rFonts w:ascii="Times New Roman" w:hAnsi="Times New Roman"/>
          <w:sz w:val="20"/>
        </w:rPr>
      </w:pPr>
      <w:r>
        <w:rPr>
          <w:rFonts w:ascii="Times New Roman" w:hAnsi="Times New Roman"/>
          <w:sz w:val="20"/>
        </w:rPr>
        <w:t xml:space="preserve">On October 20, 2026, the Company estimated that its revenue for the three months ended September 30, 2026 was between approximately $12.5 million and $12.7 million, with a gross margin of between 36.0% and 38.0%. The Company also estimated that as of September 30, 2026, it had $16.6 million in cash and short term investments. Further, the Company estimated that its Adjusted EBITDA for the three months ended September 30, 2026 was between negative $1.2 million and negative $1.0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statements for the three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financial statements. As a result, these preliminary estimates may differ from the actual results that will be reflected in the Company’s financial statements for the quarter when they are completed and publicly disclosed. These preliminary estimates may change and those changes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expectations with respect to its unaudited results for the period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 </w:t>
      </w:r>
    </w:p>
    <w:p>
      <w:pPr>
        <w:pStyle w:val="TextBody"/>
        <w:bidi w:val="0"/>
        <w:spacing w:before="360" w:after="0"/>
        <w:jc w:val="left"/>
        <w:rPr>
          <w:rFonts w:ascii="Times New Roman" w:hAnsi="Times New Roman"/>
          <w:i/>
          <w:sz w:val="20"/>
        </w:rPr>
      </w:pPr>
      <w:r>
        <w:rPr>
          <w:rFonts w:ascii="Times New Roman" w:hAnsi="Times New Roman"/>
          <w:i/>
          <w:sz w:val="20"/>
        </w:rPr>
        <w:t xml:space="preserve">Reconciliation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that is not prepared in accordance with GAAP and that may be different from non-GAAP financial measures used by other companies. Our management believes that the use of this non-GAAP financial measure provides an additional tool for investors to use in evaluating ongoing operating results and trends of the Company. This non-GAAP financial measure should not be considered in isolation from, or as an alternative to, financial measures determined in accordance with GAAP. Adjusted EBITDA is a non-GAAP financial measure equal to net loss, the most directly comparable financial measure based on GAAP, excluding interest expense, income tax expense, depreciation and amortization, and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reconciliation of net income, the most directly comparable GAAP financial measure to Adjusted EBITDA: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2915"/>
        <w:gridCol w:w="120"/>
        <w:gridCol w:w="1850"/>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 in thousands)</w:t>
            </w:r>
          </w:p>
        </w:tc>
        <w:tc>
          <w:tcPr>
            <w:tcW w:w="120" w:type="dxa"/>
            <w:tcBorders/>
            <w:vAlign w:val="center"/>
          </w:tcPr>
          <w:p>
            <w:pPr>
              <w:pStyle w:val="TableContents"/>
              <w:bidi w:val="0"/>
              <w:spacing w:before="0" w:after="283"/>
              <w:jc w:val="left"/>
              <w:rPr/>
            </w:pPr>
            <w:r>
              <w:rPr/>
              <w:t>  </w:t>
            </w:r>
          </w:p>
        </w:tc>
        <w:tc>
          <w:tcPr>
            <w:tcW w:w="18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i/>
                <w:sz w:val="16"/>
              </w:rPr>
            </w:pPr>
            <w:r>
              <w:rPr>
                <w:rFonts w:ascii="Times New Roman" w:hAnsi="Times New Roman"/>
                <w:b/>
                <w:i/>
                <w:sz w:val="16"/>
              </w:rPr>
              <w:t>Three Months Ended</w:t>
              <w:br/>
              <w:t>September 30, 2026</w:t>
              <w:br/>
              <w:t>(Estimated)</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pPr>
            <w:r>
              <w:rPr/>
              <w:t>$(3,694) - $(3,494)</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pPr>
            <w:r>
              <w:rPr/>
              <w:t>(259)</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right"/>
              <w:rPr/>
            </w:pPr>
            <w:r>
              <w:rPr/>
              <w:t>34</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2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pPr>
            <w:r>
              <w:rPr/>
              <w:t>1,302</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right"/>
              <w:rPr/>
            </w:pPr>
            <w:r>
              <w:rPr/>
              <w:t>287</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pBdr>
                <w:top w:val="single" w:sz="2" w:space="1" w:color="000000"/>
              </w:pBdr>
              <w:bidi w:val="0"/>
              <w:spacing w:before="0" w:after="0"/>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2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pPr>
            <w:r>
              <w:rPr/>
              <w:t>$(1,812) - $(1,612)</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pBdr>
                <w:top w:val="single" w:sz="2" w:space="1" w:color="000000"/>
              </w:pBdr>
              <w:bidi w:val="0"/>
              <w:spacing w:before="0" w:after="0"/>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and non-recurring expenses:</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pPr>
            <w:r>
              <w:rPr/>
              <w:t>612</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pBdr>
                <w:top w:val="single" w:sz="2" w:space="1" w:color="000000"/>
              </w:pBdr>
              <w:bidi w:val="0"/>
              <w:spacing w:before="0" w:after="0"/>
              <w:jc w:val="left"/>
              <w:rPr/>
            </w:pPr>
            <w:r>
              <w:rPr/>
              <w:t> </w:t>
            </w:r>
          </w:p>
        </w:tc>
      </w:tr>
      <w:tr>
        <w:trPr/>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right"/>
              <w:rPr/>
            </w:pPr>
            <w:r>
              <w:rPr/>
              <w:t>$(1,200) - $(1,000)</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the Company issued a press release announcing the launch of the Offering. A copy of the press release is attached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October 20, 2026, the Company issued a press release announcing the pricing of the Offering. A copy of the press release is attached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October 21, 2026, the Company posted an updated company presentation to the investor section of the Company’s website. A copy of this presentation is attached as Exhibit 99.3 to this Current Report on Form 8-K and is incorporated herein by reference.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11.htm">
              <w:r>
                <w:rPr>
                  <w:rStyle w:val="InternetLink"/>
                </w:rPr>
                <w:t xml:space="preserve">Underwriting Agreement, dated as of October 20, 2026, by and among Alpha Teknova, Inc., TD Securities (USA) LLC and William Blair &amp; Company, L.L.C.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51.htm">
              <w:r>
                <w:rPr>
                  <w:rStyle w:val="InternetLink"/>
                </w:rPr>
                <w:t xml:space="preserve">Opinion of Paul Hastings LLP.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51.htm">
              <w:r>
                <w:rPr>
                  <w:rStyle w:val="InternetLink"/>
                </w:rPr>
                <w:t xml:space="preserve">Consent of Paul Hastings LLP (included in Exhibit 5.1).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991.htm">
              <w:r>
                <w:rPr>
                  <w:rStyle w:val="InternetLink"/>
                </w:rPr>
                <w:t xml:space="preserve">Launch Press Release, dated October 20,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992.htm">
              <w:r>
                <w:rPr>
                  <w:rStyle w:val="InternetLink"/>
                </w:rPr>
                <w:t xml:space="preserve">Pricing Press Release, dated October 20,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0994dex993.htm">
              <w:r>
                <w:rPr>
                  <w:rStyle w:val="InternetLink"/>
                </w:rPr>
                <w:t xml:space="preserve">Company Presentation, dated October 14,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formatted in Inline Extensible Business Reporting Language (iXBRL).</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1955 that involve risks and uncertainties, such as statements related to the anticipated closing of the Offering and the anticipated use of proceeds from the Offering. The risks and uncertainties involved include the Company’s ability to satisfy certain conditions to closing the Offering on a timely basis or at all, market conditions and other risks detailed from time to time in the Company’s periodic reports and other filings with the SEC. Forward-looking statements can often be identified by words such as “will,” “intends,” “potentially,” “may,” “expect,” and similar expressions, and variations and negatives of these words. You are cautioned not to place undue reliance on forward-looking statements, which are based on the Company’s current expectations and assumptions and speak only as of the date of this Current Report on Form 8-K. Readers should not place undue reliance on any forward-looking statements, and are encouraged to review the Company’s other filings with the SEC for a more complete discussion of risks and other factors that could affect any forward looking statement. The Company does not intend to revise or update any forward-looking statement in this Current Report on Form 8-K as a result of new information, future events or otherwise, except as required by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58"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363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ALPHA TEKNOVA,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Gunstream</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Stephen Gunstream</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70994dex11.htm"/>
      <w:bookmarkStart w:id="3" w:name="ksd170994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8,000,000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ALPHA TEKNOVA,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WILLIAM BLAIR &amp; COMPANY,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William Blair &amp; Company, L.L.C. </w:t>
      </w:r>
    </w:p>
    <w:p>
      <w:pPr>
        <w:pStyle w:val="TextBody"/>
        <w:bidi w:val="0"/>
        <w:spacing w:before="0" w:after="0"/>
        <w:jc w:val="left"/>
        <w:rPr>
          <w:rFonts w:ascii="Times New Roman" w:hAnsi="Times New Roman"/>
          <w:sz w:val="20"/>
        </w:rPr>
      </w:pPr>
      <w:r>
        <w:rPr>
          <w:rFonts w:ascii="Times New Roman" w:hAnsi="Times New Roman"/>
          <w:sz w:val="20"/>
        </w:rPr>
        <w:t xml:space="preserve">150 North Riverside Plaza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240" w:after="0"/>
        <w:jc w:val="left"/>
        <w:rPr>
          <w:rFonts w:ascii="Times New Roman" w:hAnsi="Times New Roman"/>
          <w:sz w:val="20"/>
        </w:rPr>
      </w:pPr>
      <w:r>
        <w:rPr>
          <w:rFonts w:ascii="Times New Roman" w:hAnsi="Times New Roman"/>
          <w:sz w:val="20"/>
        </w:rPr>
        <w:t xml:space="preserve">Dear Sirs and Madams: </w:t>
      </w:r>
    </w:p>
    <w:p>
      <w:pPr>
        <w:pStyle w:val="TextBody"/>
        <w:bidi w:val="0"/>
        <w:spacing w:before="120" w:after="0"/>
        <w:jc w:val="left"/>
        <w:rPr>
          <w:rFonts w:ascii="Times New Roman" w:hAnsi="Times New Roman"/>
          <w:sz w:val="20"/>
        </w:rPr>
      </w:pPr>
      <w:r>
        <w:rPr>
          <w:rFonts w:ascii="Times New Roman" w:hAnsi="Times New Roman"/>
          <w:i/>
          <w:sz w:val="20"/>
        </w:rPr>
        <w:t>1.</w:t>
      </w:r>
      <w:r>
        <w:rPr>
          <w:rFonts w:ascii="Times New Roman" w:hAnsi="Times New Roman"/>
          <w:sz w:val="20"/>
        </w:rPr>
        <w:t xml:space="preserve"> </w:t>
      </w:r>
      <w:r>
        <w:rPr>
          <w:rFonts w:ascii="Times New Roman" w:hAnsi="Times New Roman"/>
          <w:i/>
          <w:sz w:val="20"/>
        </w:rPr>
        <w:t>INTRODUCTORY</w:t>
      </w:r>
      <w:r>
        <w:rPr>
          <w:rFonts w:ascii="Times New Roman" w:hAnsi="Times New Roman"/>
          <w:sz w:val="20"/>
        </w:rPr>
        <w:t>. Alpha Teknova, Inc., a Delaware corporation (the “</w:t>
      </w:r>
      <w:r>
        <w:rPr>
          <w:rFonts w:ascii="Times New Roman" w:hAnsi="Times New Roman"/>
          <w:b/>
          <w:i/>
          <w:sz w:val="20"/>
        </w:rPr>
        <w:t>Company</w:t>
      </w:r>
      <w:r>
        <w:rPr>
          <w:rFonts w:ascii="Times New Roman" w:hAnsi="Times New Roman"/>
          <w:sz w:val="20"/>
        </w:rPr>
        <w:t xml:space="preserve">”), proposes to sell, pursuant to the terms of this Agreement, to the several underwriters named in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Underwriters</w:t>
      </w:r>
      <w:r>
        <w:rPr>
          <w:rFonts w:ascii="Times New Roman" w:hAnsi="Times New Roman"/>
          <w:sz w:val="20"/>
        </w:rPr>
        <w:t>,” or, each, an “</w:t>
      </w:r>
      <w:r>
        <w:rPr>
          <w:rFonts w:ascii="Times New Roman" w:hAnsi="Times New Roman"/>
          <w:b/>
          <w:i/>
          <w:sz w:val="20"/>
        </w:rPr>
        <w:t>Underwriter</w:t>
      </w:r>
      <w:r>
        <w:rPr>
          <w:rFonts w:ascii="Times New Roman" w:hAnsi="Times New Roman"/>
          <w:sz w:val="20"/>
        </w:rPr>
        <w:t>”), an aggregate of 8,000,000 shares of common stock, $0.00001 par value per share (the “</w:t>
      </w:r>
      <w:r>
        <w:rPr>
          <w:rFonts w:ascii="Times New Roman" w:hAnsi="Times New Roman"/>
          <w:b/>
          <w:i/>
          <w:sz w:val="20"/>
        </w:rPr>
        <w:t>Common Stock</w:t>
      </w:r>
      <w:r>
        <w:rPr>
          <w:rFonts w:ascii="Times New Roman" w:hAnsi="Times New Roman"/>
          <w:sz w:val="20"/>
        </w:rPr>
        <w:t>”) of the Company. The aggregate of 8,000,000 shares so proposed to be sold is hereinafter referred to as the “</w:t>
      </w:r>
      <w:r>
        <w:rPr>
          <w:rFonts w:ascii="Times New Roman" w:hAnsi="Times New Roman"/>
          <w:b/>
          <w:i/>
          <w:sz w:val="20"/>
        </w:rPr>
        <w:t>Firm Stock</w:t>
      </w:r>
      <w:r>
        <w:rPr>
          <w:rFonts w:ascii="Times New Roman" w:hAnsi="Times New Roman"/>
          <w:sz w:val="20"/>
        </w:rPr>
        <w:t>”. The Company also proposes to sell to the Underwriters, upon the terms and conditions set forth in Section 3 hereof, up to an additional 1,200,000 shares of Common Stock (the “</w:t>
      </w:r>
      <w:r>
        <w:rPr>
          <w:rFonts w:ascii="Times New Roman" w:hAnsi="Times New Roman"/>
          <w:b/>
          <w:i/>
          <w:sz w:val="20"/>
        </w:rPr>
        <w:t>Optional Stock</w:t>
      </w:r>
      <w:r>
        <w:rPr>
          <w:rFonts w:ascii="Times New Roman" w:hAnsi="Times New Roman"/>
          <w:sz w:val="20"/>
        </w:rPr>
        <w:t>”). The Firm Stock and the Optional Stock are hereinafter collectively referred to as the “</w:t>
      </w:r>
      <w:r>
        <w:rPr>
          <w:rFonts w:ascii="Times New Roman" w:hAnsi="Times New Roman"/>
          <w:b/>
          <w:i/>
          <w:sz w:val="20"/>
        </w:rPr>
        <w:t>Stock</w:t>
      </w:r>
      <w:r>
        <w:rPr>
          <w:rFonts w:ascii="Times New Roman" w:hAnsi="Times New Roman"/>
          <w:sz w:val="20"/>
        </w:rPr>
        <w:t>”. TD Securities (USA) LLC and William Blair &amp; Company, L.L.C. are acting as representatives of the several Underwriters and in such capacity are hereinafter referred to as the “</w:t>
      </w:r>
      <w:r>
        <w:rPr>
          <w:rFonts w:ascii="Times New Roman" w:hAnsi="Times New Roman"/>
          <w:b/>
          <w:i/>
          <w:sz w:val="20"/>
        </w:rPr>
        <w:t>Representatives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represents and warrants to the several Underwriters, as of the date hereof and as of each Closing Date (as defined below), and agrees with the several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A registration statement of the Company on Form S-3 (File No. 333-288613) (including all amendments thereto, the “</w:t>
      </w:r>
      <w:r>
        <w:rPr>
          <w:rFonts w:ascii="Times New Roman" w:hAnsi="Times New Roman"/>
          <w:b/>
          <w:i/>
          <w:sz w:val="20"/>
        </w:rPr>
        <w:t>Initial Registration Statement</w:t>
      </w:r>
      <w:r>
        <w:rPr>
          <w:rFonts w:ascii="Times New Roman" w:hAnsi="Times New Roman"/>
          <w:sz w:val="20"/>
        </w:rPr>
        <w:t>”) in respect of the Stock has been filed with the Securities and Exchange Commission (the “</w:t>
      </w:r>
      <w:r>
        <w:rPr>
          <w:rFonts w:ascii="Times New Roman" w:hAnsi="Times New Roman"/>
          <w:b/>
          <w:i/>
          <w:sz w:val="20"/>
        </w:rPr>
        <w:t>Commission</w:t>
      </w:r>
      <w:r>
        <w:rPr>
          <w:rFonts w:ascii="Times New Roman" w:hAnsi="Times New Roman"/>
          <w:sz w:val="20"/>
        </w:rPr>
        <w:t>”) pursuant to Rule 415 under the Securities Act of 1933, as amended (the “</w:t>
      </w:r>
      <w:r>
        <w:rPr>
          <w:rFonts w:ascii="Times New Roman" w:hAnsi="Times New Roman"/>
          <w:b/>
          <w:i/>
          <w:sz w:val="20"/>
        </w:rPr>
        <w:t>Securities Act</w:t>
      </w:r>
      <w:r>
        <w:rPr>
          <w:rFonts w:ascii="Times New Roman" w:hAnsi="Times New Roman"/>
          <w:sz w:val="20"/>
        </w:rPr>
        <w:t>”). The Company meets the requirements for use of Form S-3 under the Securities Act, and the rules and regulations of the Commission thereunder (the “</w:t>
      </w:r>
      <w:r>
        <w:rPr>
          <w:rFonts w:ascii="Times New Roman" w:hAnsi="Times New Roman"/>
          <w:b/>
          <w:i/>
          <w:sz w:val="20"/>
        </w:rPr>
        <w:t>Rules and Regulations</w:t>
      </w:r>
      <w:r>
        <w:rPr>
          <w:rFonts w:ascii="Times New Roman" w:hAnsi="Times New Roman"/>
          <w:sz w:val="20"/>
        </w:rPr>
        <w:t>”). The Initial Registration Statement and any post-effective amendment thereto, each in the form heretofore delivered to you, and, excluding exhibits thereto, to you for each of the other Underwriters, have been declared effective by the Commission in such form and meet the requirements of the Securities Act, and the Rules and Regulations. The proposed offering of the Stock may be made pursuant to General Instruction I.B.1 of Form S-3. Other than (i) the Initial Registration Statement, (ii) a registration statement, if any, increasing the size of the offering filed pursuant to Rule 462(b) under the Securities Act and the Rules and Regulations (a “</w:t>
      </w:r>
      <w:r>
        <w:rPr>
          <w:rFonts w:ascii="Times New Roman" w:hAnsi="Times New Roman"/>
          <w:b/>
          <w:i/>
          <w:sz w:val="20"/>
        </w:rPr>
        <w:t>Rule 462(b)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Registration Statement</w:t>
      </w:r>
      <w:r>
        <w:rPr>
          <w:rFonts w:ascii="Times New Roman" w:hAnsi="Times New Roman"/>
          <w:sz w:val="20"/>
        </w:rPr>
        <w:t>”), (iii) any Preliminary Prospectus (as defined below), (iv) the Prospectus (as defined below) contemplated by this Agreement to be filed pursuant to Rule 424(b) of the Rules and Regulations in accordance with Section 4(a) hereof and (v) any Issuer Free Writing Prospectus (as defined below), no other document with respect to the offer or sale of the Stock has heretofore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Securities Act has been initiated or, to the Company’s knowledge, threatened by the Commission (any preliminary prospectus included in the Initial Registration Statement or filed with the Commission pursuant to Rule 424 of the Rules and Regulations is hereinafter called a “</w:t>
      </w:r>
      <w:r>
        <w:rPr>
          <w:rFonts w:ascii="Times New Roman" w:hAnsi="Times New Roman"/>
          <w:b/>
          <w:i/>
          <w:sz w:val="20"/>
        </w:rPr>
        <w:t>Preliminary Prospectus</w:t>
      </w:r>
      <w:r>
        <w:rPr>
          <w:rFonts w:ascii="Times New Roman" w:hAnsi="Times New Roman"/>
          <w:sz w:val="20"/>
        </w:rPr>
        <w:t>”). The Initial Registration Statement including all exhibits thereto and including the information contained in the Prospectus filed with the Commission pursuant to Rule 424(b) of the Rules and Regulations and deemed by virtue of Rule 430A under the Securities Act to be part of the Initial Registration Statement at the time it became effective is hereinafter collectively called the “</w:t>
      </w:r>
      <w:r>
        <w:rPr>
          <w:rFonts w:ascii="Times New Roman" w:hAnsi="Times New Roman"/>
          <w:b/>
          <w:i/>
          <w:sz w:val="20"/>
        </w:rPr>
        <w:t>Registration Statement</w:t>
      </w:r>
      <w:r>
        <w:rPr>
          <w:rFonts w:ascii="Times New Roman" w:hAnsi="Times New Roman"/>
          <w:sz w:val="20"/>
        </w:rPr>
        <w:t>.” If the Company has filed a Rule 462(b) Registration Statement, then any reference herein to the term “Registration Statement” shall be deemed to include such Rule 462(b) Registration Statement. The base prospectus included in the Initial Registration Statement at the time of effectiveness thereof, as supplemented by the final prospectus supplement relating to the offer and sale of the Stock, in the form filed pursuant to and within the time limits described in Rule 424(b) under the Rules and Regulations, is hereinafter called the “</w:t>
      </w:r>
      <w:r>
        <w:rPr>
          <w:rFonts w:ascii="Times New Roman" w:hAnsi="Times New Roman"/>
          <w:b/>
          <w:i/>
          <w:sz w:val="20"/>
        </w:rPr>
        <w:t>Prospectus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reference herein to the Registration Statement, Preliminary Prospectus or the Prospectus shall be deemed to refer to and include the documents incorporated by reference therein. Any reference to any amendment or supplement to any Preliminary Prospectus or the Prospectus shall be deemed to refer to and include any documents filed after the date of such Preliminary Prospectus or the Prospectus under the Securities Exchange Act of 1934, as amended (the “</w:t>
      </w:r>
      <w:r>
        <w:rPr>
          <w:rFonts w:ascii="Times New Roman" w:hAnsi="Times New Roman"/>
          <w:b/>
          <w:i/>
          <w:sz w:val="20"/>
        </w:rPr>
        <w:t>Exchange Act</w:t>
      </w:r>
      <w:r>
        <w:rPr>
          <w:rFonts w:ascii="Times New Roman" w:hAnsi="Times New Roman"/>
          <w:sz w:val="20"/>
        </w:rPr>
        <w:t xml:space="preserve">”), and incorporated by reference in such Preliminary Prospectus or Prospectus, as the case may be. Any reference to (i) the Registration Statement shall be deemed to refer to and include the annual report of the last completed fiscal year of the Company on Form 10-K filed under Section 13(a) or 15(d) of the Exchange Act prior to the date hereof and (ii) the effective date of such Registration Statement shall be deemed to refer to and include the date such Registration Statement became effective and, if later, the date such Form 10-K was so filed. Any reference to any amendment to the Registration Statement shall be deemed to refer to and include any annual report of the Company filed pursuant to Section 13(a) or 15(d) of the Exchange Act after the date of this Agreement that is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General Disclosure Package</w:t>
      </w:r>
      <w:r>
        <w:rPr>
          <w:rFonts w:ascii="Times New Roman" w:hAnsi="Times New Roman"/>
          <w:sz w:val="20"/>
        </w:rPr>
        <w:t xml:space="preserve">. As of the Applicable Time (as defined below) and as of the Closing Date or the Option Closing Date (as defined below), as the case may be, neither (i) the General Use Free Writing Prospectus(es) (as defined below) issued at or prior to the Applicable Time, the Pricing Prospectus (as defined below) and the information included on </w:t>
      </w:r>
      <w:r>
        <w:rPr>
          <w:rFonts w:ascii="Times New Roman" w:hAnsi="Times New Roman"/>
          <w:sz w:val="20"/>
          <w:u w:val="single"/>
        </w:rPr>
        <w:t>Schedule C</w:t>
      </w:r>
      <w:r>
        <w:rPr>
          <w:rFonts w:ascii="Times New Roman" w:hAnsi="Times New Roman"/>
          <w:sz w:val="20"/>
        </w:rPr>
        <w:t xml:space="preserve"> hereto, all considered together (collectively, the “</w:t>
      </w:r>
      <w:r>
        <w:rPr>
          <w:rFonts w:ascii="Times New Roman" w:hAnsi="Times New Roman"/>
          <w:b/>
          <w:i/>
          <w:sz w:val="20"/>
        </w:rPr>
        <w:t>General Disclosure Package</w:t>
      </w:r>
      <w:r>
        <w:rPr>
          <w:rFonts w:ascii="Times New Roman" w:hAnsi="Times New Roman"/>
          <w:sz w:val="20"/>
        </w:rPr>
        <w:t xml:space="preserve">”), (ii) any individual Limited Use Free Writing Prospectus (as defined below), (iii) the bona fide electronic roadshow (as defined in Rule 433(h)(5) of the Rules and Regulations); nor (iv) any individual Written Testing-the-Waters Communication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information contained in or omitted from the Pricing Prospectus or any Issuer Free Writing Prospectus (as defined below),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 As used in this paragraph (b) and elsewhere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Applicable Time</w:t>
      </w:r>
      <w:r>
        <w:rPr>
          <w:rFonts w:ascii="Times New Roman" w:hAnsi="Times New Roman"/>
          <w:sz w:val="20"/>
        </w:rPr>
        <w:t xml:space="preserve">” means 6:00 P.M., New York time, on the date of this Agreement or such other time as agreed to by the Company and the Representatives. </w:t>
      </w:r>
    </w:p>
    <w:p>
      <w:pPr>
        <w:pStyle w:val="TextBody"/>
        <w:bidi w:val="0"/>
        <w:spacing w:before="240" w:after="0"/>
        <w:jc w:val="left"/>
        <w:rPr/>
      </w:pPr>
      <w:r>
        <w:rPr/>
        <w:t>“</w:t>
      </w:r>
      <w:r>
        <w:rPr>
          <w:rFonts w:ascii="Times New Roman" w:hAnsi="Times New Roman"/>
          <w:b/>
          <w:i/>
          <w:sz w:val="20"/>
        </w:rPr>
        <w:t>Pricing Prospectus</w:t>
      </w:r>
      <w:r>
        <w:rPr>
          <w:rFonts w:ascii="Times New Roman" w:hAnsi="Times New Roman"/>
          <w:sz w:val="20"/>
        </w:rPr>
        <w:t xml:space="preserve">” means the Preliminary Prospectus relating to the Stock that is included in the Registration Statement immediately prior to the Applicable Time, including any document incorporated by reference therein. </w:t>
      </w:r>
    </w:p>
    <w:p>
      <w:pPr>
        <w:pStyle w:val="TextBody"/>
        <w:bidi w:val="0"/>
        <w:spacing w:before="240" w:after="0"/>
        <w:jc w:val="left"/>
        <w:rPr/>
      </w:pPr>
      <w:r>
        <w:rPr/>
        <w:t>“</w:t>
      </w:r>
      <w:r>
        <w:rPr>
          <w:rFonts w:ascii="Times New Roman" w:hAnsi="Times New Roman"/>
          <w:b/>
          <w:i/>
          <w:sz w:val="20"/>
        </w:rPr>
        <w:t>Issuer Free Writing Prospectus</w:t>
      </w:r>
      <w:r>
        <w:rPr>
          <w:rFonts w:ascii="Times New Roman" w:hAnsi="Times New Roman"/>
          <w:sz w:val="20"/>
        </w:rPr>
        <w:t xml:space="preserve">” means any “issuer free writing prospectus,” as defined in Rule 433 of the Rules and Regulations relating to the Stock in the form filed or required to be filed with the Commission or, if not required to be filed, in the form retained in the Company’s records pursuant to Rule 433(g) of the Rules and Regulations. </w:t>
      </w:r>
    </w:p>
    <w:p>
      <w:pPr>
        <w:pStyle w:val="TextBody"/>
        <w:bidi w:val="0"/>
        <w:spacing w:before="240" w:after="0"/>
        <w:jc w:val="left"/>
        <w:rPr/>
      </w:pPr>
      <w:r>
        <w:rPr/>
        <w:t>“</w:t>
      </w:r>
      <w:r>
        <w:rPr>
          <w:rFonts w:ascii="Times New Roman" w:hAnsi="Times New Roman"/>
          <w:b/>
          <w:i/>
          <w:sz w:val="20"/>
        </w:rPr>
        <w:t>General Use Free Writing Prospectus</w:t>
      </w:r>
      <w:r>
        <w:rPr>
          <w:rFonts w:ascii="Times New Roman" w:hAnsi="Times New Roman"/>
          <w:sz w:val="20"/>
        </w:rPr>
        <w:t xml:space="preserve">” means any Issuer Free Writing Prospectus that is identified on </w:t>
      </w:r>
      <w:r>
        <w:rPr>
          <w:rFonts w:ascii="Times New Roman" w:hAnsi="Times New Roman"/>
          <w:sz w:val="20"/>
          <w:u w:val="single"/>
        </w:rPr>
        <w:t>Schedule B</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b/>
          <w:i/>
          <w:sz w:val="20"/>
        </w:rPr>
        <w:t>Limited Use Free Writing Prospectus</w:t>
      </w:r>
      <w:r>
        <w:rPr>
          <w:rFonts w:ascii="Times New Roman" w:hAnsi="Times New Roman"/>
          <w:sz w:val="20"/>
        </w:rPr>
        <w:t xml:space="preserve">” means any Issuer Free Writing Prospectus that is not a General Use Free Writing Prospectus. </w:t>
      </w:r>
    </w:p>
    <w:p>
      <w:pPr>
        <w:pStyle w:val="TextBody"/>
        <w:bidi w:val="0"/>
        <w:spacing w:before="240" w:after="0"/>
        <w:jc w:val="left"/>
        <w:rPr/>
      </w:pPr>
      <w:r>
        <w:rPr/>
        <w:t>“</w:t>
      </w:r>
      <w:r>
        <w:rPr>
          <w:rFonts w:ascii="Times New Roman" w:hAnsi="Times New Roman"/>
          <w:b/>
          <w:i/>
          <w:sz w:val="20"/>
        </w:rPr>
        <w:t>Written Testing-the-Waters Communication</w:t>
      </w:r>
      <w:r>
        <w:rPr>
          <w:rFonts w:ascii="Times New Roman" w:hAnsi="Times New Roman"/>
          <w:sz w:val="20"/>
        </w:rPr>
        <w:t xml:space="preserve">” means any Testing-the-Waters Communication (as defined below) that is a written communication within the meaning of Rule 405 of the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Stop Orders; No Material Misstatements</w:t>
      </w:r>
      <w:r>
        <w:rPr>
          <w:rFonts w:ascii="Times New Roman" w:hAnsi="Times New Roman"/>
          <w:sz w:val="20"/>
        </w:rPr>
        <w:t xml:space="preserve">. No order preventing or suspending the use of any Preliminary Prospectus, any Issuer Free Writing Prospectus or the Prospectus relating to the proposed offering of the Stock has been issued by the Commission, and no proceeding for that purpose or pursuant to Section 8A of the Securities Act has been instituted or, to the Company’s knowledge, threatened by the Commission, and each Preliminary Prospectus, at the time of filing thereof,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information contained in or omitted from any Preliminary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Statement and Prospectus Contents</w:t>
      </w:r>
      <w:r>
        <w:rPr>
          <w:rFonts w:ascii="Times New Roman" w:hAnsi="Times New Roman"/>
          <w:sz w:val="20"/>
        </w:rPr>
        <w:t xml:space="preserve">. At the respective times, the Registration Statement and any amendments thereto became or become effective as to the Underwriters and at each Closing Date, the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each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representations and warranties in this paragraph (d) 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Issuer Free Writing Prospectus</w:t>
      </w:r>
      <w:r>
        <w:rPr>
          <w:rFonts w:ascii="Times New Roman" w:hAnsi="Times New Roman"/>
          <w:sz w:val="20"/>
        </w:rPr>
        <w:t xml:space="preserve">. Each Issuer Free Writing Prospectus, as of its issue date and at all subsequent times through the completion of the public offer and sale of the Stock or until any earlier date that the Company notified or notifies the Representatives as described in Section 4(f), did not, does not and will not include any information that conflicted, conflicts or will conflict with the information contained in the Registration Statement, the Pricing Prospectus or the Prospectus, including any document incorporated by reference therein and any prospectus supplement deemed to be a part thereof, or included or would include an untrue statement of a material fact or omitted or would omit to state a material fact required to be stated therein or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representations and warranties in this paragraph (e) 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Documents Incorporated by Reference.</w:t>
      </w:r>
      <w:r>
        <w:rPr>
          <w:rFonts w:ascii="Times New Roman" w:hAnsi="Times New Roman"/>
          <w:sz w:val="20"/>
        </w:rPr>
        <w:t xml:space="preserve"> The documents incorporated by reference in the Prospectus, when they were filed with the Commission conformed in all material respects to the requirements of the Securities Act or the Exchange Act, as applicable, and the rules and regulations of the Commission thereunder and none of such documents contained any untrue statement of a material fact or omitted to state any material fact required to be stated therein, or necessary to make the statements therein, in the light of the circumstances under which they were made, not misleading; and any further documents so filed and incorporated by reference in the Prospectus, when such documents are filed with the Commission will conform in all material respects to the requirements of the Securities Act or the Exchange Act, as applicable, and the rules and regulations of the Commission thereunder and will not contain any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Distribution of Offering Materials</w:t>
      </w:r>
      <w:r>
        <w:rPr>
          <w:rFonts w:ascii="Times New Roman" w:hAnsi="Times New Roman"/>
          <w:sz w:val="20"/>
        </w:rPr>
        <w:t xml:space="preserve">. The Company has not, directly or indirectly, distributed and will not distribute any offering material in connection with the offering and sale of the Stock other than any Preliminary Prospectus, the Prospectus and other materials, if any, permitted under the Securities Act and consistent with Section 4(c) below. The Company will file with the Commission all Issuer Free Writing Prospectuses (other than a “road show” as described in Rule 433(d)(8) of the Rules and Regulations) in the time and manner required under Rules 163(b)(2) and 433(d) of the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Emerging Growth Company</w:t>
      </w:r>
      <w:r>
        <w:rPr>
          <w:rFonts w:ascii="Times New Roman" w:hAnsi="Times New Roman"/>
          <w:sz w:val="20"/>
        </w:rPr>
        <w:t>. From the first date on which the Company engaged directly or through any person authorized to act on its behalf in any communication in reliance on Section 5(d) of the Securities Act through the date hereof, the Company has been and is an “emerging growth company,” as defined in Section 2(a) of the Securities Act (an “</w:t>
      </w:r>
      <w:r>
        <w:rPr>
          <w:rFonts w:ascii="Times New Roman" w:hAnsi="Times New Roman"/>
          <w:b/>
          <w:i/>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 an Ineligible Issuer</w:t>
      </w:r>
      <w:r>
        <w:rPr>
          <w:rFonts w:ascii="Times New Roman" w:hAnsi="Times New Roman"/>
          <w:sz w:val="20"/>
        </w:rPr>
        <w:t xml:space="preserve">. At the time of filing the Initial Registration Statement, any Rule 462(b) Registration Statement and any post-effective amendments thereto, and at the date hereof, the Company was not, and the Company currently is not, an “ineligible issuer,” as defined in Rule 405 of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Testing the Waters Communications</w:t>
      </w:r>
      <w:r>
        <w:rPr>
          <w:rFonts w:ascii="Times New Roman" w:hAnsi="Times New Roman"/>
          <w:i/>
          <w:sz w:val="20"/>
        </w:rPr>
        <w:t xml:space="preserve">. </w:t>
      </w:r>
      <w:r>
        <w:rPr>
          <w:rFonts w:ascii="Times New Roman" w:hAnsi="Times New Roman"/>
          <w:sz w:val="20"/>
        </w:rPr>
        <w:t xml:space="preserve">The Company (a)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Times New Roman" w:hAnsi="Times New Roman"/>
          <w:sz w:val="20"/>
          <w:u w:val="single"/>
        </w:rPr>
        <w:t xml:space="preserve">Schedule D </w:t>
      </w:r>
      <w:r>
        <w:rPr>
          <w:rFonts w:ascii="Times New Roman" w:hAnsi="Times New Roman"/>
          <w:sz w:val="20"/>
        </w:rPr>
        <w:t xml:space="preserve">hereto.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Organization and Good Standing</w:t>
      </w:r>
      <w:r>
        <w:rPr>
          <w:rFonts w:ascii="Times New Roman" w:hAnsi="Times New Roman"/>
          <w:sz w:val="20"/>
        </w:rPr>
        <w:t>. The Company and each of its subsidiaries (as defined in Section 16) have been duly organized and are validly existing as corporations or other legal entities in good standing (or the foreign equivalent thereof) under the laws of their respective jurisdictions of organization. The Company and each of its subsidiaries are duly qualified to do business and are in good standing as foreign corporations or other legal entities in each jurisdiction in which their respective ownership or lease of property or the conduct of their respective businesses requires such qualification and have all power and authority (corporate or other) necessary to own or hold their respective properties and to conduct the businesses in which they are engaged, except where the failure to so qualify or have such power or authority would not (i) have, singularly or in the aggregate, a material adverse effect on the business, properties, management, financial position, stockholders’ equity, results of operations or prospects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Times New Roman" w:hAnsi="Times New Roman"/>
          <w:b/>
          <w:i/>
          <w:sz w:val="20"/>
        </w:rPr>
        <w:t>Material Adverse Effect</w:t>
      </w:r>
      <w:r>
        <w:rPr>
          <w:rFonts w:ascii="Times New Roman" w:hAnsi="Times New Roman"/>
          <w:sz w:val="20"/>
        </w:rPr>
        <w:t xml:space="preserve">”). The Company has no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Underwriting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The Stock</w:t>
      </w:r>
      <w:r>
        <w:rPr>
          <w:rFonts w:ascii="Times New Roman" w:hAnsi="Times New Roman"/>
          <w:sz w:val="20"/>
        </w:rPr>
        <w:t xml:space="preserve">. The Stock to be issued and sold by the Company to the Underwriters hereunder has been duly and validly authorized and, when issued and delivered against payment therefor as provided herein, will be duly and validly issued, fully paid and non-assessable and will conform to the descriptions thereof in the Registration Statement, the General Disclosure Package and the Prospectus; and the issuance of the Stock is not subject to any preemptive or similar rights that have not been complied with or otherwise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Capitalization</w:t>
      </w:r>
      <w:r>
        <w:rPr>
          <w:rFonts w:ascii="Times New Roman" w:hAnsi="Times New Roman"/>
          <w:sz w:val="20"/>
        </w:rPr>
        <w:t xml:space="preserve">. The Company has an authorized capitalization as set forth in the Registration Statement, the Pricing Prospectus and the Prospectus, and all of the issued shares of capital stock of the Company, have been duly and validly authorized and issued, are fully paid and non-assessable, have been issued in compliance with federal and state securities laws, and conform in all material respects to the description thereof contained in the General Disclosure Package and the Prospectus. All of the Company’s options, warrants and other rights to purchase or exchange any securities for shares of the Company’s capital stock have been duly authorized and validly issued and were issued in compliance with federal and state securities laws. None of the outstanding shares of Common Stock were issued in violation of any preemptive rights, rights of first refusal or other similar rights to subscribe for or purchase securities of the Company. As of the date set forth in the General Disclosure Package, there were no authorized or outstanding shares of capital stock, options, warrants, preemptive rights, rights of first refusal or other rights to purchase, or equity or debt securities convertible into or exchangeable or exercisable for, any capital stock of the Company or any of its subsidiaries other than those described above or accurately described in the General Disclosure Package. Since such date, the Company has not issued any securities other than Common Stock issued pursuant to the exercise of warrants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exercise of stock options or other awards outstanding under the Company’s stock option plans, options or other securities granted or issued pursuant to the Company’s existing equity compensation plans or other plans, and the issuance of Common Stock pursuant to employee stock purchase plans. The description of the Company’s stock option, stock bonus and other stock plans or arrangements, and the options or other rights granted thereunder, as described in the General Disclosure Package and the Prospectus, accurately and fairly present in all material respects the information required to be shown with respect to such plans, arrangements, options and rights.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Conflicts</w:t>
      </w:r>
      <w:r>
        <w:rPr>
          <w:rFonts w:ascii="Times New Roman" w:hAnsi="Times New Roman"/>
          <w:sz w:val="20"/>
        </w:rPr>
        <w:t>. The execution, delivery and performance of this Agreement by the Company, the issue and sale of the Stock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analogous governing instruments, as applicable) of the Company or any of its subsidiaries or (iii)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(i) and (iii) above, for any such conflict, breach, violation or default that would not, individually or in the aggregate, reasonably be expected to have a Material Adverse Effect. A “</w:t>
      </w:r>
      <w:r>
        <w:rPr>
          <w:rFonts w:ascii="Times New Roman" w:hAnsi="Times New Roman"/>
          <w:b/>
          <w:i/>
          <w:sz w:val="20"/>
        </w:rPr>
        <w:t>Debt Repayment Triggering Event</w:t>
      </w:r>
      <w:r>
        <w:rPr>
          <w:rFonts w:ascii="Times New Roman" w:hAnsi="Times New Roman"/>
          <w:sz w:val="20"/>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No Consents Required</w:t>
      </w:r>
      <w:r>
        <w:rPr>
          <w:rFonts w:ascii="Times New Roman" w:hAnsi="Times New Roman"/>
          <w:sz w:val="20"/>
        </w:rPr>
        <w:t>. Except for the registration of the Stock under the Securities Act and applicable state securities laws, and such consents, approvals, authorizations, orders and registrations or qualifications as may be required by the Financial Industry Regulatory Authority (“</w:t>
      </w:r>
      <w:r>
        <w:rPr>
          <w:rFonts w:ascii="Times New Roman" w:hAnsi="Times New Roman"/>
          <w:b/>
          <w:i/>
          <w:sz w:val="20"/>
        </w:rPr>
        <w:t>FINRA</w:t>
      </w:r>
      <w:r>
        <w:rPr>
          <w:rFonts w:ascii="Times New Roman" w:hAnsi="Times New Roman"/>
          <w:sz w:val="20"/>
        </w:rPr>
        <w:t>”) and the Nasdaq Global Market (the “</w:t>
      </w:r>
      <w:r>
        <w:rPr>
          <w:rFonts w:ascii="Times New Roman" w:hAnsi="Times New Roman"/>
          <w:b/>
          <w:i/>
          <w:sz w:val="20"/>
        </w:rPr>
        <w:t>Exchange</w:t>
      </w:r>
      <w:r>
        <w:rPr>
          <w:rFonts w:ascii="Times New Roman" w:hAnsi="Times New Roman"/>
          <w:sz w:val="20"/>
        </w:rPr>
        <w:t>”) in connection with the purchase and distribution of the Stock by the Underwriters and the listing of the Stock on the Exchange, no consent, approval, authorization or order of, or filing, qualification or registration (each an “</w:t>
      </w:r>
      <w:r>
        <w:rPr>
          <w:rFonts w:ascii="Times New Roman" w:hAnsi="Times New Roman"/>
          <w:b/>
          <w:i/>
          <w:sz w:val="20"/>
        </w:rPr>
        <w:t>Authorization</w:t>
      </w:r>
      <w:r>
        <w:rPr>
          <w:rFonts w:ascii="Times New Roman" w:hAnsi="Times New Roman"/>
          <w:sz w:val="20"/>
        </w:rPr>
        <w:t xml:space="preserve">”) with, any court, governmental or regulatory agency or body, foreign or domestic, which has not been made, obtained or taken and is not in full force and effect, is required for the execution, delivery and performance of this Agreement by the Company, the issuance and sale of the Stock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stockholders) necessary for the Company to consummate the transactions contemplated by this Agreement have been obtained and are in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Independent Auditors</w:t>
      </w:r>
      <w:r>
        <w:rPr>
          <w:rFonts w:ascii="Times New Roman" w:hAnsi="Times New Roman"/>
          <w:sz w:val="20"/>
        </w:rPr>
        <w:t>. Grant Thornton LLP, who have certified certain financial statements and related schedules of the Company and its subsidiaries included in the Registration Statement, the General Disclosure Package and the Prospectus, and have audited the Company’s internal control over financial reporting and management’s assessment thereof, is an independent registered public accounting firm with respect to the Company and its subsidiaries within the meaning of Article 2-01 of Regulation S-X and the Public Company Accounting Oversight Board (United States) (the “</w:t>
      </w:r>
      <w:r>
        <w:rPr>
          <w:rFonts w:ascii="Times New Roman" w:hAnsi="Times New Roman"/>
          <w:b/>
          <w:i/>
          <w:sz w:val="20"/>
        </w:rPr>
        <w:t>PCAOB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Financial Statements</w:t>
      </w:r>
      <w:r>
        <w:rPr>
          <w:rFonts w:ascii="Times New Roman" w:hAnsi="Times New Roman"/>
          <w:sz w:val="20"/>
        </w:rPr>
        <w:t>. The financial statements, together with the related notes and schedules (if any), included in the General Disclosure Package, the Prospectus and in the Registration Statement fairly present, in all material respects, the financial position and the results of operations and changes in financial position of the Company at the respective dates or for the respective periods therein specified. Such statements and related notes and schedules have been prepared in accordance with the generally accepted accounting principles in the United States (“</w:t>
      </w:r>
      <w:r>
        <w:rPr>
          <w:rFonts w:ascii="Times New Roman" w:hAnsi="Times New Roman"/>
          <w:b/>
          <w:i/>
          <w:sz w:val="20"/>
        </w:rPr>
        <w:t>GAAP</w:t>
      </w:r>
      <w:r>
        <w:rPr>
          <w:rFonts w:ascii="Times New Roman" w:hAnsi="Times New Roman"/>
          <w:sz w:val="20"/>
        </w:rPr>
        <w:t xml:space="preserve">”) applied on a consistent basis throughout the periods involved except as may be set forth in the related notes included in the General Disclosure Package and provided that unaudited interim financial statements, which are subject to normal year-end adjustments, may not contain certain footnotes, as permitted by the rules of the Commission. The financial statements, together with the related notes and schedules, included in the General Disclosure Package and the Prospectus comply in all material respects with Regulation S-X. No other financial statements or supporting schedules or exhibits are required by Regulation S-X to be described, or included in the Registration Statement, the General Disclosure Package or the Prospectus. There is no pro forma or as adjusted financial information which is required to be included in the Registration Statement, the General Disclosure Package or the Prospectus in accordance with Regulation S-X which has not been included or incorporated as so required. The summary and selected financial data included in the General Disclosure Package, the Prospectus and the Registration Statement fairly present, in all material respects, the information shown therein as at the respective dates and for the respective periods specified and are derived from the consolidated financial statements set forth in the Registration Statement, the Pricing Prospectus and the Prospectus and other financial information. All information contained in the Registration Statement, the General Disclosure Package and the Prospectus regarding “non-GAAP financial measures” (as defined in Regulation G) complies with Regulation G and Item 10 of Regulation S-K,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No Material Adverse Change</w:t>
      </w:r>
      <w:r>
        <w:rPr>
          <w:rFonts w:ascii="Times New Roman" w:hAnsi="Times New Roman"/>
          <w:sz w:val="20"/>
        </w:rPr>
        <w:t xml:space="preserve">. Neither the Company nor any of its subsidiaries has sustained, since the date of the latest audited financial statements included in the General Disclosure Package,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General Disclosure Package; (ii) any change in the capital stock (other than the issuance of shares of Common Stock upon exercise of stock options and warrants described as outstanding in, and the grant of options and awards under existing equity incentive plans described in, the Registration Statement, the General Disclosure Package and the Prospectus) or long-term debt of the Company or any of its subsidiaries, or any dividend or distribution of any kind declared, set aside for payment, paid or made by the Company on any class of capital stock, or any material adverse changes, or any development involving a prospective material adverse change, in or affecting the business, properties, assets, general affairs, management, financial position, prospects, stockholders’ equity or results of operations of the Company and its subsidiaries taken as a whole, otherwise than as set forth or contemplated in the General Disclosure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Legal Proceedings</w:t>
      </w:r>
      <w:r>
        <w:rPr>
          <w:rFonts w:ascii="Times New Roman" w:hAnsi="Times New Roman"/>
          <w:sz w:val="20"/>
        </w:rPr>
        <w:t>. Except as set forth in the General Disclosure Package, there is no legal or governmental proceeding to which the Company or any of its subsidiaries is a party or of which any property or assets of the Company or any of its subsidiaries is the subject, including any proceeding before the United States Food and Drug Administration of the U.S. Department of Health and Human Services (“</w:t>
      </w:r>
      <w:r>
        <w:rPr>
          <w:rFonts w:ascii="Times New Roman" w:hAnsi="Times New Roman"/>
          <w:b/>
          <w:i/>
          <w:sz w:val="20"/>
        </w:rPr>
        <w:t>FDA</w:t>
      </w:r>
      <w:r>
        <w:rPr>
          <w:rFonts w:ascii="Times New Roman" w:hAnsi="Times New Roman"/>
          <w:sz w:val="20"/>
        </w:rPr>
        <w:t xml:space="preserve">”) or comparable federal, state, local, supranational or foreign governmental bodies (it being understood that the interaction between the Company and the FDA and such comparable governmental bodies relating to the product development and manufacturing processes shall not be deemed proceedings for purposes of this representation), which is required to be described in the Registration Statement, the General Disclosure Package or the Prospectus and is not described therein, or which, singularly or in the aggregate, if determined adversely to the Company or any of its subsidiaries, would reasonably be expected to have a Material Adverse Effect; and no such proceedings are, to the Company’s knowledge, threatened by governmental or regulatory authorities or threatened by others. The Company is in compliance with all applicable federal, state, local, supranational and foreign laws, regulations, orders and decrees governing its business as prescribed by the FDA or any other federal, state or foreign agencies or bodies engaged in the regulation of pharmaceuticals, medical devices, equipment and supplies, or biohazardous substances or materials, except where noncompliance would not, singly or in the aggregate, have a Material Adverse Effect. All product development and manufacturing activities conducted by or on behalf of the Company have been conducted by the Company, or to the Company’s knowledge by third parties, in compliance with all applicable federal, state, supranational or foreign laws, rules, orders and regulations, except for such failure or failures to be in compliance as would not reasonably be expected to have, singly or in the aggregate, a Material Adverse Effect. Neither the Company nor any of its subsidiaries is a party to any corporate integrity agreements, monitoring agreements, deferred prosecution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health care program or human clinical research or, to the Company’s knowledge,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Violation or Default</w:t>
      </w:r>
      <w:r>
        <w:rPr>
          <w:rFonts w:ascii="Times New Roman" w:hAnsi="Times New Roman"/>
          <w:sz w:val="20"/>
        </w:rPr>
        <w:t xml:space="preserve">. Neither the Company nor any of its subsidiaries is (i) in violation of its charter or by-laws (or analogous governing instrument, as applicable), (ii)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(iii) in violation in any respect of any law, ordinance, governmental rule, regulation or court order, decree or judgment to which it or its property or assets may be subject (including, without limitation, those administered by the FDA or by any foreign, federal, state, supranational or local governmental or regulatory authority performing functions similar to those performed by the FDA) except, in the case of clauses (ii) and (iii) above, for any such violation or default that would not, singularly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Licenses or Permits</w:t>
      </w:r>
      <w:r>
        <w:rPr>
          <w:rFonts w:ascii="Times New Roman" w:hAnsi="Times New Roman"/>
          <w:sz w:val="20"/>
        </w:rPr>
        <w:t>. The Company and each of its subsidiaries possess all licenses, certificates, authorizations and permits issued by, and have made all declarations and filings with, the appropriate local, state, federal, supranational or foreign governmental or regulatory agencies or bodies (including, without limitation, those administered by the FDA or by any foreign, federal, state or local governmental or regulatory authority) that are necessary for the ownership or lease of their respective properties or the conduct of their respective businesses as described in the General Disclosure Package and the Prospectus (collectively, the “</w:t>
      </w:r>
      <w:r>
        <w:rPr>
          <w:rFonts w:ascii="Times New Roman" w:hAnsi="Times New Roman"/>
          <w:b/>
          <w:i/>
          <w:sz w:val="20"/>
        </w:rPr>
        <w:t>Governmental Permits</w:t>
      </w:r>
      <w:r>
        <w:rPr>
          <w:rFonts w:ascii="Times New Roman" w:hAnsi="Times New Roman"/>
          <w:sz w:val="20"/>
        </w:rPr>
        <w:t xml:space="preserve">”) except where any failures to possess or make the same would not, singularly or in the aggregate, reasonably be expected to have a Material Adverse Effect. The Company and its subsidiaries are in compliance with all such Governmental Permits, except where noncompliance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not reasonably be expected to have a Material Adverse Effect, and all such Governmental Permits are valid and in full force and effect, except where the invalidity or failure to be in full force and effect would not, singularly or in the aggregate, reasonably be expected to have a Material Adverse Effect. Neither the Company nor any subsidiary has received written or, to the Company’s knowledge, oral notification of any revocation, modification, suspension, termination, limitation, restriction or invalidation (or proceedings related thereto) of any such Governmental Permit and the Company has no reason to believe that any such Governmental Permit will not be renewed, except for such revocations, modifications, suspensions, terminations, or invalidations which would not, singularly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Regulatory Matters</w:t>
      </w:r>
      <w:r>
        <w:rPr>
          <w:rFonts w:ascii="Times New Roman" w:hAnsi="Times New Roman"/>
          <w:sz w:val="20"/>
        </w:rPr>
        <w:t>. The product development and manufacturing activities conducted by or on behalf of the Company that are described in the General Disclosure Package and the Prospectus (the “</w:t>
      </w:r>
      <w:r>
        <w:rPr>
          <w:rFonts w:ascii="Times New Roman" w:hAnsi="Times New Roman"/>
          <w:b/>
          <w:i/>
          <w:sz w:val="20"/>
        </w:rPr>
        <w:t>Company Product Development and Manufacturing</w:t>
      </w:r>
      <w:r>
        <w:rPr>
          <w:rFonts w:ascii="Times New Roman" w:hAnsi="Times New Roman"/>
          <w:sz w:val="20"/>
        </w:rPr>
        <w:t xml:space="preserve">”) were and, if still pending, are being, conducted in all material respects in accordance with protocols, procedures, specifications and controls pursuant to, where applicable, accepted professional scientific, manufacturing and quality standards; the descriptions of products resulting from the Company Product Development and Manufacturing contained in the General Disclosure Package and Prospectus are accurate in all material respects; the Company has no knowledge of any other products or manufacturing activities not described in the General Disclosure Package and the Prospectus, the results of which are inconsistent with or call in question the results described or referred to in the General Disclosure Package and the Prospectus; and the Company has not received any written notices or correspondence (or, to the Company’s knowledge, any oral communication) from the FDA or any supranational, foreign, state or local governmental body exercising comparable authority requiring the termination, suspension or material modification of any Company Product Development and Manufacturing, except for such termination, suspension or material modification which would not reasonably be expected to have a Material Adverse Effect and, to the Company’s knowledge, there are no reasonable grounds for the same. The manufacture of the Company’s products by or on behalf of the Company, to the knowledge of the Company, is being conducted in compliance with all applicable statutes, rules, regulations and policies of the FDA or by any supranational, foreign, federal, state or local governmental body exercising comparable regulatory authority, to which the Company is subject, except where the failure to so comply, whether individually or in the aggregate,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Testing</w:t>
      </w:r>
      <w:r>
        <w:rPr>
          <w:rFonts w:ascii="Times New Roman" w:hAnsi="Times New Roman"/>
          <w:sz w:val="20"/>
        </w:rPr>
        <w:t>. The Company has not conducted any human clinical trials subject to certain regulatory requirements, including, but not limited to Investigational Device Exemption (“</w:t>
      </w:r>
      <w:r>
        <w:rPr>
          <w:rFonts w:ascii="Times New Roman" w:hAnsi="Times New Roman"/>
          <w:b/>
          <w:i/>
          <w:sz w:val="20"/>
        </w:rPr>
        <w:t>IDE</w:t>
      </w:r>
      <w:r>
        <w:rPr>
          <w:rFonts w:ascii="Times New Roman" w:hAnsi="Times New Roman"/>
          <w:sz w:val="20"/>
        </w:rPr>
        <w:t>”) or Good Clinical Practice (“</w:t>
      </w:r>
      <w:r>
        <w:rPr>
          <w:rFonts w:ascii="Times New Roman" w:hAnsi="Times New Roman"/>
          <w:b/>
          <w:i/>
          <w:sz w:val="20"/>
        </w:rPr>
        <w:t>GCP</w:t>
      </w:r>
      <w:r>
        <w:rPr>
          <w:rFonts w:ascii="Times New Roman" w:hAnsi="Times New Roman"/>
          <w:sz w:val="20"/>
        </w:rPr>
        <w:t>”) regulations as required by the FDA or by any supranational, foreign, federal, state or local governmental body exercising comparable regulatory authority.</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Regulatory Compliance</w:t>
      </w:r>
      <w:r>
        <w:rPr>
          <w:rFonts w:ascii="Times New Roman" w:hAnsi="Times New Roman"/>
          <w:sz w:val="20"/>
        </w:rPr>
        <w:t>. The Company has not received any unresolved FDA Form 483, notice of adverse filing, warning letter, untitled letter or other correspondence or notice from the FDA, or any other court or arbitrator or federal, state, local, or foreign governmental or regulatory authority, alleging or asserting material noncompliance with the Federal Food, Drug and Cosmetic Act (21 U.S.C § 301 et seq.) (the “</w:t>
      </w:r>
      <w:r>
        <w:rPr>
          <w:rFonts w:ascii="Times New Roman" w:hAnsi="Times New Roman"/>
          <w:b/>
          <w:i/>
          <w:sz w:val="20"/>
        </w:rPr>
        <w:t>FDCA</w:t>
      </w:r>
      <w:r>
        <w:rPr>
          <w:rFonts w:ascii="Times New Roman" w:hAnsi="Times New Roman"/>
          <w:sz w:val="20"/>
        </w:rPr>
        <w:t>”). The Company and its directors, officers, employees and agents are and have been in material compliance with applicable health care laws, including without limitation, the FDCA, the Federal Trade Commission Act and the regulation promulgated pursuant to such laws, and comparable state laws, and all other local, state, federal, national, supranational, and foreign laws, manual provisions, policies and administrative guidance relating to the regulation of the Company (collectively, “</w:t>
      </w:r>
      <w:r>
        <w:rPr>
          <w:rFonts w:ascii="Times New Roman" w:hAnsi="Times New Roman"/>
          <w:b/>
          <w:i/>
          <w:sz w:val="20"/>
        </w:rPr>
        <w:t>Health Care Laws</w:t>
      </w:r>
      <w:r>
        <w:rPr>
          <w:rFonts w:ascii="Times New Roman" w:hAnsi="Times New Roman"/>
          <w:sz w:val="20"/>
        </w:rPr>
        <w:t xml:space="preserve">”). The Company has not knowingly made an untrue statement of material fact or fraudulent statement to any governmental agent or authority, or knowingly committed an act, or knowingly made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submission that, at the time such disclosure or act, as applicable, was made, would reasonably be expected to be in violation of any Health Care Law. The Company has not, either voluntarily or involuntarily, initiated, conducted or issued or caused to be initiated, conducted or issued, any recall, correction, market withdrawal or replacement, safety alert, post-sale warning, or other notice or action relating to the alleged lack of safety or quality of any product or any alleged product defect or violation and, to the Company’s knowledge, no third-party has initiated or conducted any such notice or action. Neither the Company nor any of its officers, directors, employees, or agents has been or is currently excluded from participation in any federal or state healthcare program. Neither the Company nor, to the Company’s knowledge, any of its officers, directors, employees, or agents has been or is currently “suspended” or “debarred” from selling products to the U.S. government or its agencies pursuant to the Federal Acquisition Regulation relating to debarment and suspension applicable to federal government agencies under 48 C.F.R. Subpart 9.4.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Healthcare Product Manufacturing</w:t>
      </w:r>
      <w:r>
        <w:rPr>
          <w:rFonts w:ascii="Times New Roman" w:hAnsi="Times New Roman"/>
          <w:sz w:val="20"/>
        </w:rPr>
        <w:t>. The manufacture of the Company’s and its subsidiaries’ products and product candidates by or on behalf of the Company and its subsidiaries is being conducted in compliance in all material respects with all applicable Health Care Laws. Neither the Company nor any of its subsidiaries has had any manufacturing site (whether Company-owned, subsidiary-owned or that of a third party manufacturer for the Company’s or its subsidiaries’ product candidates) subject to a governmental authority (including FDA or the European Medicines Agency (“</w:t>
      </w:r>
      <w:r>
        <w:rPr>
          <w:rFonts w:ascii="Times New Roman" w:hAnsi="Times New Roman"/>
          <w:b/>
          <w:i/>
          <w:sz w:val="20"/>
        </w:rPr>
        <w:t>EMA</w:t>
      </w:r>
      <w:r>
        <w:rPr>
          <w:rFonts w:ascii="Times New Roman" w:hAnsi="Times New Roman"/>
          <w:sz w:val="20"/>
        </w:rPr>
        <w:t xml:space="preserve">”)) shutdown or import or export prohibition, nor received any FDA, EMA or other governmental authority “warning letters,” or “untitled letters” alleging or asserting material noncompliance with any applicable Health Care Laws, requests to make material changes to the Company’s or its subsidiaries’ product candidates, processes or operations, or similar correspondence or notice from the FDA, EMA or other governmental authority alleging or asserting material noncompliance with any applicable Health Care Laws. To the knowledge of the Company, neither the FDA, EMA or any other governmental authority is considering such action.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Investment Company Act</w:t>
      </w:r>
      <w:r>
        <w:rPr>
          <w:rFonts w:ascii="Times New Roman" w:hAnsi="Times New Roman"/>
          <w:sz w:val="20"/>
        </w:rPr>
        <w:t xml:space="preserve">. Neither the Company nor any of its subsidiaries is or, after giving effect to the offering of the Stock and the application of the proceeds thereof as described in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No Stabilization</w:t>
      </w:r>
      <w:r>
        <w:rPr>
          <w:rFonts w:ascii="Times New Roman" w:hAnsi="Times New Roman"/>
          <w:sz w:val="20"/>
        </w:rPr>
        <w:t xml:space="preserve">. Neither the Company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Intellectual Property</w:t>
      </w:r>
      <w:r>
        <w:rPr>
          <w:rFonts w:ascii="Times New Roman" w:hAnsi="Times New Roman"/>
          <w:sz w:val="20"/>
        </w:rPr>
        <w:t>. The Company and its subsidiaries own or possess the valid right to use all (i) valid and enforceable patents, patent applications, trademarks, trademark registrations, service marks, service mark registrations, Internet domain name registrations, copyrights, copyright registrations, licenses, trade secret rights (“</w:t>
      </w:r>
      <w:r>
        <w:rPr>
          <w:rFonts w:ascii="Times New Roman" w:hAnsi="Times New Roman"/>
          <w:b/>
          <w:i/>
          <w:sz w:val="20"/>
        </w:rPr>
        <w:t>Intellectual Property Rights</w:t>
      </w:r>
      <w:r>
        <w:rPr>
          <w:rFonts w:ascii="Times New Roman" w:hAnsi="Times New Roman"/>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hAnsi="Times New Roman"/>
          <w:b/>
          <w:i/>
          <w:sz w:val="20"/>
        </w:rPr>
        <w:t>Intellectual Property Assets</w:t>
      </w:r>
      <w:r>
        <w:rPr>
          <w:rFonts w:ascii="Times New Roman" w:hAnsi="Times New Roman"/>
          <w:sz w:val="20"/>
        </w:rPr>
        <w:t xml:space="preserve">”) necessary to conduct their respective businesses as currently conducted, and as proposed to be conducted and described in the General Disclosure Package and the Prospectus. The Company and its subsidiaries have not received any opinion from their legal counsel concluding that any activities of their respective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General Disclosure Package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General Disclosure Package,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With respect to the use of the software in the Company’s business as it is currently conducted, the Company has not experienced any material defects in such software including any material error or omission in the processing of any transactions other than defects which have been corrected, and to the Company’s knowledge, no such software contains any device or feature designed to disrupt, disable, or otherwise impair the functioning of any software or is subject to the terms of any “open source” or other similar license that provides for the source code of the software to be publicly distributed or dedicated to the public.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Privacy Laws</w:t>
      </w:r>
      <w:r>
        <w:rPr>
          <w:rFonts w:ascii="Times New Roman" w:hAnsi="Times New Roman"/>
          <w:sz w:val="20"/>
        </w:rPr>
        <w:t>. The Company is, and at all times has been, in material compliance with all (i) applicable data privacy and security laws and regulations (including laws and regulations relating to the collection, storage, use, access, disclosure, processing, security, and transfer of Personal Data (as defined below), and data breach notification), and any rules or regulations implemented thereunder, including, without limitation, as applicable, the European Union General Data Protection Regulation (EU 2016/679) (“</w:t>
      </w:r>
      <w:r>
        <w:rPr>
          <w:rFonts w:ascii="Times New Roman" w:hAnsi="Times New Roman"/>
          <w:b/>
          <w:i/>
          <w:sz w:val="20"/>
        </w:rPr>
        <w:t>GDPR</w:t>
      </w:r>
      <w:r>
        <w:rPr>
          <w:rFonts w:ascii="Times New Roman" w:hAnsi="Times New Roman"/>
          <w:sz w:val="20"/>
        </w:rPr>
        <w:t>”); the GDPR as transposed into United Kingdom national law by operation of section 3 of the European Union (Withdrawal) Act 2018 and as amended by the Data Protection, Privacy and Electronic Communications (Addendums etc.) (EU Exit) Regulations 2019, together with the Data Protection Act 2018, the Data Protection, Privacy and Electronic Communications (Addendums etc.) (EU Exit) Regulations 2019; the California Consumer Privacy Act of 2018; and laws and regulations relating to e-commerce, sales, marketing, and electronic communications, including, without limitation, the U.S. CAN-SPAM Act, the U.S. Telephone Consumer Protection Act, and the U.S. Telemarketing Sales Rule; (ii) all applicable industry guidelines and self-regulatory programs, including to the extent applicable, the PCI Security Standards Council’s Payment Card Industry Data Security Standard (PCI-DSS) and all other applicable security rules and requirements as promulgated by the PCI Security Standards Council, by any member thereof, or by any entity that functions as a card brand, card association, card network, payment processor, acquiring bank, merchant bank or issuing bank ((i)-(ii) collectively, “</w:t>
      </w:r>
      <w:r>
        <w:rPr>
          <w:rFonts w:ascii="Times New Roman" w:hAnsi="Times New Roman"/>
          <w:b/>
          <w:i/>
          <w:sz w:val="20"/>
        </w:rPr>
        <w:t>Privacy Laws</w:t>
      </w:r>
      <w:r>
        <w:rPr>
          <w:rFonts w:ascii="Times New Roman" w:hAnsi="Times New Roman"/>
          <w:sz w:val="20"/>
        </w:rPr>
        <w:t>”); and (iii) all contracts (or portions thereof) to which the Company or a subsidiary is a party that are applicable to the Company’s or its subsidiaries’ data processing activities (“</w:t>
      </w:r>
      <w:r>
        <w:rPr>
          <w:rFonts w:ascii="Times New Roman" w:hAnsi="Times New Roman"/>
          <w:b/>
          <w:i/>
          <w:sz w:val="20"/>
        </w:rPr>
        <w:t>Privacy Agreements</w:t>
      </w:r>
      <w:r>
        <w:rPr>
          <w:rFonts w:ascii="Times New Roman" w:hAnsi="Times New Roman"/>
          <w:sz w:val="20"/>
        </w:rPr>
        <w:t xml:space="preserv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its subsidiaries have in place, materially comply with, and take appropriate steps to ensure compliance in all material respects with, their policies and procedures relating to data privacy and security and the processing, collection, storage, use, disclosure, transfer, handling and analysis of Personal Data and other information in the Company’s, its subsidiaries’ and its and their service providers’ possession or control (the “</w:t>
      </w:r>
      <w:r>
        <w:rPr>
          <w:rFonts w:ascii="Times New Roman" w:hAnsi="Times New Roman"/>
          <w:b/>
          <w:i/>
          <w:sz w:val="20"/>
        </w:rPr>
        <w:t>Policies</w:t>
      </w:r>
      <w:r>
        <w:rPr>
          <w:rFonts w:ascii="Times New Roman" w:hAnsi="Times New Roman"/>
          <w:sz w:val="20"/>
        </w:rPr>
        <w:t>”). The Company provides materially accurate notice of its Policies to its customers, employees, third party vendors and representatives. The Policies provide materially accurate and sufficient notice of the Company’s then current privacy practices related to its subject matter and such Policies comply with applicable Privacy Laws in all material respects, do not contain any material omissions of the Company’s then-current privacy practices, and do not contain any inaccurate, misleading, or deceptive disclosures. “</w:t>
      </w:r>
      <w:r>
        <w:rPr>
          <w:rFonts w:ascii="Times New Roman" w:hAnsi="Times New Roman"/>
          <w:b/>
          <w:i/>
          <w:sz w:val="20"/>
        </w:rPr>
        <w:t>Personal Data</w:t>
      </w:r>
      <w:r>
        <w:rPr>
          <w:rFonts w:ascii="Times New Roman" w:hAnsi="Times New Roman"/>
          <w:sz w:val="20"/>
        </w:rPr>
        <w:t xml:space="preserve">” means (i) a natural person’s name, street address, telephone number, email address, photograph, social security number, bank information, or customer or account number; (ii) any information that would qualify as “personally identifying information” under the Federal Trade Commission Act, as amended; (iii) “personal data” as defined by GDPR; (iv) any other data defined as “personal data”, “personal information” or similar term under applicable Privacy Laws; and (v) any other piece of information that allows the identification of a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Privacy Agreements or Policies. Neither the Company nor any of its subsidiaries, (A) has received notice of any actual or potential violation of, any Privacy Laws, or complaint related to the Company’s or its subsidiaries’ use of Personal Data, and has no knowledge of any event or condition that would reasonably be expected to result in any such notice or complaint; (B) is currently conducting or paying for, in whole or in part, any investigation, remediation or other corrective action pursuant to any Privacy Law; or (C) is a party to any order, decree, or agreement that imposed any obligation or liability under any Privacy Law as a result of any violation or alleged violation of any Privacy Law.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IT Systems</w:t>
      </w:r>
      <w:r>
        <w:rPr>
          <w:rFonts w:ascii="Times New Roman" w:hAnsi="Times New Roman"/>
          <w:sz w:val="20"/>
        </w:rPr>
        <w:t>. (i)(x) There has been no security breach, or compromise, unauthorized acquisition, use, modification, disclosure or other misuse of, or damage, loss, or unauthorized access to, any of the Company’s or its subsidiaries’ information technology and computer systems, networks, hardware, software, data (including Personal Data, intellectual property, confidential information, the data of the Company’s and its subsidiaries’ respective customers, employees, suppliers, vendors, and any third party data maintained by or on behalf of the foregoing persons), equipment or technology (“</w:t>
      </w:r>
      <w:r>
        <w:rPr>
          <w:rFonts w:ascii="Times New Roman" w:hAnsi="Times New Roman"/>
          <w:b/>
          <w:i/>
          <w:sz w:val="20"/>
        </w:rPr>
        <w:t>IT Systems and Data</w:t>
      </w:r>
      <w:r>
        <w:rPr>
          <w:rFonts w:ascii="Times New Roman" w:hAnsi="Times New Roman"/>
          <w:sz w:val="20"/>
        </w:rPr>
        <w:t>”) or any IT Systems and Data in the possession or control of a Company or subsidiary service provider (each, a “</w:t>
      </w:r>
      <w:r>
        <w:rPr>
          <w:rFonts w:ascii="Times New Roman" w:hAnsi="Times New Roman"/>
          <w:b/>
          <w:i/>
          <w:sz w:val="20"/>
        </w:rPr>
        <w:t>Security Incident</w:t>
      </w:r>
      <w:r>
        <w:rPr>
          <w:rFonts w:ascii="Times New Roman" w:hAnsi="Times New Roman"/>
          <w:sz w:val="20"/>
        </w:rPr>
        <w:t xml:space="preserve">”), except for those that have been remedied without material cost or liability, and (y) the Company and its subsidiaries have not been notified of, and have no knowledge of any event or condition that would reasonably be expected to result in a Security Incident; (ii) the Company and its subsidiaries have materially complied, and are presently in material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and (iii) the Company and its subsidiaries have implemented reasonable measures to protect the IT Systems and Data from damage, loss, and unauthorized access, acquisition, use, modification, disclosure or other misuse, including backup and disaster recovery technology consistent with industry standards and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Title to Real and Personal Property</w:t>
      </w:r>
      <w:r>
        <w:rPr>
          <w:rFonts w:ascii="Times New Roman" w:hAnsi="Times New Roman"/>
          <w:sz w:val="20"/>
        </w:rPr>
        <w:t xml:space="preserve">. The Company does not own any real property and the Company and each of its subsidiaries have valid and marketable rights to lease or otherwise use, all items of real or personal property which are material to the business of the Company and its subsidiaries taken as a whole, in each case free and clear of all liens, encumbrances, security interests, claims and defects that (i) do not, singularly or in the aggregate, materially affect the value of such property and do not materially interfere with the use made and proposed to be made of such property by the Company or any of its subsidiaries or (ii) would not reasonably be expected, singularly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No Labor Dispute</w:t>
      </w:r>
      <w:r>
        <w:rPr>
          <w:rFonts w:ascii="Times New Roman" w:hAnsi="Times New Roman"/>
          <w:sz w:val="20"/>
        </w:rPr>
        <w:t xml:space="preserve">.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and (B) no labor disturbance by or dispute with, employees of the Company or any of its subsidiaries exists or, to the Company’s knowledge, is threatened, and the Company is not aware of any existing or imminent labor disturbance by the employees of any of its or its subsidiaries’ principal suppliers, manufacturers, customers or contractors, that would reasonably be expected, singularly or in the aggregate, to have a Material Adverse Effect. The Company is not aware that any key employee or significant group of employees of the Company or any subsidiary plans to terminate employment with the Company or any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Compliance with ERISA</w:t>
      </w:r>
      <w:r>
        <w:rPr>
          <w:rFonts w:ascii="Times New Roman" w:hAnsi="Times New Roman"/>
          <w:sz w:val="20"/>
        </w:rPr>
        <w:t>. No “prohibited transaction” (as defined in Section 406 of the Employee Retirement Income Security Act of 1974, as amended, including the regulations and published interpretations thereunder (“</w:t>
      </w:r>
      <w:r>
        <w:rPr>
          <w:rFonts w:ascii="Times New Roman" w:hAnsi="Times New Roman"/>
          <w:b/>
          <w:i/>
          <w:sz w:val="20"/>
        </w:rPr>
        <w:t>ERISA</w:t>
      </w:r>
      <w:r>
        <w:rPr>
          <w:rFonts w:ascii="Times New Roman" w:hAnsi="Times New Roman"/>
          <w:sz w:val="20"/>
        </w:rPr>
        <w:t>”), or Section 4975 of the Internal Revenue Code of 1986, as amended from time to time (the “</w:t>
      </w:r>
      <w:r>
        <w:rPr>
          <w:rFonts w:ascii="Times New Roman" w:hAnsi="Times New Roman"/>
          <w:b/>
          <w:i/>
          <w:sz w:val="20"/>
        </w:rPr>
        <w:t>Code</w:t>
      </w:r>
      <w:r>
        <w:rPr>
          <w:rFonts w:ascii="Times New Roman" w:hAnsi="Times New Roman"/>
          <w:sz w:val="20"/>
        </w:rPr>
        <w:t xml:space="preserve">”))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singularly or in the aggregate,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Environmental Laws and Hazardous Materials</w:t>
      </w:r>
      <w:r>
        <w:rPr>
          <w:rFonts w:ascii="Times New Roman" w:hAnsi="Times New Roman"/>
          <w:sz w:val="20"/>
        </w:rPr>
        <w:t>. The Company and its subsidiaries are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hAnsi="Times New Roman"/>
          <w:b/>
          <w:i/>
          <w:sz w:val="20"/>
        </w:rPr>
        <w:t>Environmental Laws</w:t>
      </w:r>
      <w:r>
        <w:rPr>
          <w:rFonts w:ascii="Times New Roman" w:hAnsi="Times New Roman"/>
          <w:sz w:val="20"/>
        </w:rPr>
        <w:t xml:space="preserve">”).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that would, singularly or in the aggregate, reasonably be expected to have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Taxes</w:t>
      </w:r>
      <w:r>
        <w:rPr>
          <w:rFonts w:ascii="Times New Roman" w:hAnsi="Times New Roman"/>
          <w:sz w:val="20"/>
        </w:rPr>
        <w:t xml:space="preserve">. The Company and its subsidiaries each (i) have timely filed all necessary federal, state, local and foreign tax returns, and all such returns were true, complete and correct, (ii) have paid all federal, state, local and foreign taxes, for which it is liable, including, without limitation, all sales and use taxes and all taxes which the Company or any of its subsidiaries is obligated to withhold from amounts owing to employees, creditors and third parties, and (iii) do not have any tax deficiency or claims outstanding or assessed or, to the Company’s knowledge, proposed against any of them, except those, in each of the cases described in clauses (i), (ii) and (iii) above, that would not, singularly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Insurance</w:t>
      </w:r>
      <w:r>
        <w:rPr>
          <w:rFonts w:ascii="Times New Roman" w:hAnsi="Times New Roman"/>
          <w:sz w:val="20"/>
        </w:rPr>
        <w:t xml:space="preserve">. The Company and each of its subsidiaries carry, or are covered by, insurance in such amounts and covering such risks as the Company reasonably believes is adequate for the conduct of their respective businesses and the value of their respective properties.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Accounting Controls</w:t>
      </w:r>
      <w:r>
        <w:rPr>
          <w:rFonts w:ascii="Times New Roman" w:hAnsi="Times New Roman"/>
          <w:sz w:val="20"/>
        </w:rPr>
        <w:t>. The Company and each of its subsidiaries maintain a system of “internal control over financial reporting” (as such term is defined in Rule 13a-15(f) of the General Rules and Regulations under the Exchange Act (the “</w:t>
      </w:r>
      <w:r>
        <w:rPr>
          <w:rFonts w:ascii="Times New Roman" w:hAnsi="Times New Roman"/>
          <w:b/>
          <w:i/>
          <w:sz w:val="20"/>
        </w:rPr>
        <w:t>Exchange Act Rules</w:t>
      </w:r>
      <w:r>
        <w:rPr>
          <w:rFonts w:ascii="Times New Roman" w:hAnsi="Times New Roman"/>
          <w:sz w:val="20"/>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in all material respects and has been prepared in accordance with the Commission’s rules and guidelines applicable thereto. The Company’s internal control over financial reporting is effective. Except as described in the General Disclosure Package,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Disclosure Controls</w:t>
      </w:r>
      <w:r>
        <w:rPr>
          <w:rFonts w:ascii="Times New Roman" w:hAnsi="Times New Roman"/>
          <w:sz w:val="20"/>
        </w:rPr>
        <w:t xml:space="preserve">. The Company and its subsidiaries maintain disclosure controls and procedures (as such is defined in Rule 13a-15(e) of the Exchange Act Rules) that comply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and its subsidiaries have conducted evaluations of the effectiveness of their disclosure controls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Minute Books</w:t>
      </w:r>
      <w:r>
        <w:rPr>
          <w:rFonts w:ascii="Times New Roman" w:hAnsi="Times New Roman"/>
          <w:sz w:val="20"/>
        </w:rPr>
        <w:t xml:space="preserve">. The minute books of the Company have been made available to the Underwriters and counsel for the Underwriters, and such books (i) contain a complete summary of all meetings and actions of the board of directors (including each board committee) and stockholders of the Company (or analogous governing bodies and interest holders, as applicable), since the time of its incorporation through the date of the latest meeting and action, and (ii) accurately in all material respects reflect all transactions referred to in such minutes.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(or analogous interest holders), customers or suppliers of the Company or any of its affiliates on the other hand, which is required to be described in the General Disclosure Package and the Prospectus and which is not so described.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Registration Rights</w:t>
      </w:r>
      <w:r>
        <w:rPr>
          <w:rFonts w:ascii="Times New Roman" w:hAnsi="Times New Roman"/>
          <w:sz w:val="20"/>
        </w:rPr>
        <w:t xml:space="preserve">. No person or entity has the right to require registration of shares of Common Stock or other securities of the Company or any of its subsidiaries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Margin Rules</w:t>
      </w:r>
      <w:r>
        <w:rPr>
          <w:rFonts w:ascii="Times New Roman" w:hAnsi="Times New Roman"/>
          <w:sz w:val="20"/>
        </w:rPr>
        <w:t xml:space="preserve">. The application of the proceeds received by the Company from the issuance, sale and delivery of the Stock as described in the General Disclosure Package and the Prospectus will not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Stock or any transaction contemplated by this Agreement, the Registration Statement, the General Disclosure Package or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No Restrictions on Subsidiaries</w:t>
      </w:r>
      <w:r>
        <w:rPr>
          <w:rFonts w:ascii="Times New Roman" w:hAnsi="Times New Roman"/>
          <w:sz w:val="20"/>
        </w:rPr>
        <w:t xml:space="preserve">. Except as described in the General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PFIC</w:t>
      </w:r>
      <w:r>
        <w:rPr>
          <w:rFonts w:ascii="Times New Roman" w:hAnsi="Times New Roman"/>
          <w:sz w:val="20"/>
        </w:rPr>
        <w:t>. The Company is not a Passive Foreign Investment Company (“</w:t>
      </w:r>
      <w:r>
        <w:rPr>
          <w:rFonts w:ascii="Times New Roman" w:hAnsi="Times New Roman"/>
          <w:b/>
          <w:i/>
          <w:sz w:val="20"/>
        </w:rPr>
        <w:t>PFIC</w:t>
      </w:r>
      <w:r>
        <w:rPr>
          <w:rFonts w:ascii="Times New Roman" w:hAnsi="Times New Roman"/>
          <w:sz w:val="20"/>
        </w:rPr>
        <w:t xml:space="preserve">”) within the meaning of Section 1296 of the Code, and the Company is not likely to become a PFIC.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Forward-Looking Statements</w:t>
      </w:r>
      <w:r>
        <w:rPr>
          <w:rFonts w:ascii="Times New Roman" w:hAnsi="Times New Roman"/>
          <w:sz w:val="20"/>
        </w:rPr>
        <w:t xml:space="preserve">. 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FINRA is contemplating terminating such registration or listing.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Sarbanes-Oxley Act</w:t>
      </w:r>
      <w:r>
        <w:rPr>
          <w:rFonts w:ascii="Times New Roman" w:hAnsi="Times New Roman"/>
          <w:sz w:val="20"/>
        </w:rPr>
        <w:t>. There is and has been no failure on the part of the Company or, to the Company’s knowledge, any of the Company’s officers or directors, in their capacities as such, to comply with any provision of the Sarbanes-Oxley Act of 2002 and the rules and regulations promulgated in connection therewith applicable to the Company or such officers or directors as of the date hereof (the “</w:t>
      </w:r>
      <w:r>
        <w:rPr>
          <w:rFonts w:ascii="Times New Roman" w:hAnsi="Times New Roman"/>
          <w:b/>
          <w:i/>
          <w:sz w:val="20"/>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(yy) </w:t>
      </w:r>
      <w:r>
        <w:rPr>
          <w:rFonts w:ascii="Times New Roman" w:hAnsi="Times New Roman"/>
          <w:sz w:val="20"/>
          <w:u w:val="single"/>
        </w:rPr>
        <w:t>No Unlawful Payments</w:t>
      </w:r>
      <w:r>
        <w:rPr>
          <w:rFonts w:ascii="Times New Roman" w:hAnsi="Times New Roman"/>
          <w:sz w:val="20"/>
        </w:rPr>
        <w:t xml:space="preserve">. Neither the Company nor any of its subsidiaries nor, to the Company’s knowledge, any director, officer, employee, agent, affiliate or other person acting on behalf of the Company or any subsidiary,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 of any other jurisdiction in which the Company or any subsidiary conducts business, or (iv) made any other unlawful bribe, rebate, payoff, influence payment, kickback, or other unlawful payment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(zz) </w:t>
      </w:r>
      <w:r>
        <w:rPr>
          <w:rFonts w:ascii="Times New Roman" w:hAnsi="Times New Roman"/>
          <w:sz w:val="20"/>
          <w:u w:val="single"/>
        </w:rPr>
        <w:t>Statistical and Market Data</w:t>
      </w:r>
      <w:r>
        <w:rPr>
          <w:rFonts w:ascii="Times New Roman" w:hAnsi="Times New Roman"/>
          <w:sz w:val="20"/>
        </w:rPr>
        <w:t xml:space="preserve">. 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 </w:t>
      </w:r>
    </w:p>
    <w:p>
      <w:pPr>
        <w:pStyle w:val="TextBody"/>
        <w:bidi w:val="0"/>
        <w:spacing w:before="120" w:after="0"/>
        <w:jc w:val="left"/>
        <w:rPr>
          <w:rFonts w:ascii="Times New Roman" w:hAnsi="Times New Roman"/>
          <w:sz w:val="20"/>
        </w:rPr>
      </w:pPr>
      <w:r>
        <w:rPr>
          <w:rFonts w:ascii="Times New Roman" w:hAnsi="Times New Roman"/>
          <w:sz w:val="20"/>
        </w:rPr>
        <w:t xml:space="preserve">(aaa) </w:t>
      </w:r>
      <w:r>
        <w:rPr>
          <w:rFonts w:ascii="Times New Roman" w:hAnsi="Times New Roman"/>
          <w:sz w:val="20"/>
          <w:u w:val="single"/>
        </w:rPr>
        <w:t>Compliance with Anti-Money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i/>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Company’s knowledge, threatened. </w:t>
      </w:r>
    </w:p>
    <w:p>
      <w:pPr>
        <w:pStyle w:val="TextBody"/>
        <w:bidi w:val="0"/>
        <w:spacing w:before="120" w:after="0"/>
        <w:jc w:val="left"/>
        <w:rPr>
          <w:rFonts w:ascii="Times New Roman" w:hAnsi="Times New Roman"/>
          <w:sz w:val="20"/>
        </w:rPr>
      </w:pPr>
      <w:r>
        <w:rPr>
          <w:rFonts w:ascii="Times New Roman" w:hAnsi="Times New Roman"/>
          <w:sz w:val="20"/>
        </w:rPr>
        <w:t xml:space="preserve">(bbb) </w:t>
      </w:r>
      <w:r>
        <w:rPr>
          <w:rFonts w:ascii="Times New Roman" w:hAnsi="Times New Roman"/>
          <w:sz w:val="20"/>
          <w:u w:val="single"/>
        </w:rPr>
        <w:t>Compliance with OFAC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b/>
                <w:i/>
                <w:sz w:val="20"/>
              </w:rPr>
              <w:t>Person</w:t>
            </w:r>
            <w:r>
              <w:rPr>
                <w:rFonts w:ascii="Times New Roman" w:hAnsi="Times New Roman"/>
                <w:sz w:val="20"/>
              </w:rPr>
              <w:t>”) that is, or is owned or controlled by a Person that is: (i) the subject of any economic, financial or trade sanctions administered or enforced by the U.S. Department of Treasury’s Office of Foreign Assets Control (“</w:t>
            </w:r>
            <w:r>
              <w:rPr>
                <w:rFonts w:ascii="Times New Roman" w:hAnsi="Times New Roman"/>
                <w:b/>
                <w:i/>
                <w:sz w:val="20"/>
              </w:rPr>
              <w:t>OFAC</w:t>
            </w:r>
            <w:r>
              <w:rPr>
                <w:rFonts w:ascii="Times New Roman" w:hAnsi="Times New Roman"/>
                <w:sz w:val="20"/>
              </w:rPr>
              <w:t>”), the United Nations Security Council (“</w:t>
            </w:r>
            <w:r>
              <w:rPr>
                <w:rFonts w:ascii="Times New Roman" w:hAnsi="Times New Roman"/>
                <w:b/>
                <w:i/>
                <w:sz w:val="20"/>
              </w:rPr>
              <w:t>UNSC</w:t>
            </w:r>
            <w:r>
              <w:rPr>
                <w:rFonts w:ascii="Times New Roman" w:hAnsi="Times New Roman"/>
                <w:sz w:val="20"/>
              </w:rPr>
              <w:t>”), the European Union (“</w:t>
            </w:r>
            <w:r>
              <w:rPr>
                <w:rFonts w:ascii="Times New Roman" w:hAnsi="Times New Roman"/>
                <w:b/>
                <w:i/>
                <w:sz w:val="20"/>
              </w:rPr>
              <w:t>EU</w:t>
            </w:r>
            <w:r>
              <w:rPr>
                <w:rFonts w:ascii="Times New Roman" w:hAnsi="Times New Roman"/>
                <w:sz w:val="20"/>
              </w:rPr>
              <w:t xml:space="preserve">”), His Majesty’s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Treasury (“</w:t>
            </w:r>
            <w:r>
              <w:rPr>
                <w:b/>
                <w:i/>
              </w:rPr>
              <w:t>HMT</w:t>
            </w:r>
            <w:r>
              <w:rPr/>
              <w:t>”), the Swiss Secretariat of Economic Affairs, or other relevant sanctions authority (collectively, “</w:t>
            </w:r>
            <w:r>
              <w:rPr>
                <w:b/>
                <w:i/>
              </w:rPr>
              <w:t>Sanctions</w:t>
            </w:r>
            <w:r>
              <w:rPr/>
              <w:t xml:space="preserve">”),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any Person participating in the offering, whether as underwriter, advisor, investor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(ccc) </w:t>
      </w:r>
      <w:r>
        <w:rPr>
          <w:rFonts w:ascii="Times New Roman" w:hAnsi="Times New Roman"/>
          <w:sz w:val="20"/>
          <w:u w:val="single"/>
        </w:rPr>
        <w:t>No Associated Persons; FINRA Matters</w:t>
      </w:r>
      <w:r>
        <w:rPr>
          <w:rFonts w:ascii="Times New Roman" w:hAnsi="Times New Roman"/>
          <w:sz w:val="20"/>
        </w:rPr>
        <w:t xml:space="preserve">. Neither the Company nor any of its affiliates (within the meaning of FINRA Rule 5121(f)(1)) directly or indirectly controls, is controlled by, or is under common control with, or is an associated person (within the meaning of Article I, Section 1(ee) of the By-laws of FINRA) of, any member firm of FINRA. </w:t>
      </w:r>
    </w:p>
    <w:p>
      <w:pPr>
        <w:pStyle w:val="TextBody"/>
        <w:bidi w:val="0"/>
        <w:spacing w:before="120" w:after="0"/>
        <w:jc w:val="left"/>
        <w:rPr>
          <w:rFonts w:ascii="Times New Roman" w:hAnsi="Times New Roman"/>
          <w:sz w:val="20"/>
        </w:rPr>
      </w:pPr>
      <w:r>
        <w:rPr>
          <w:rFonts w:ascii="Times New Roman" w:hAnsi="Times New Roman"/>
          <w:sz w:val="20"/>
        </w:rPr>
        <w:t xml:space="preserve">(ddd) </w:t>
      </w:r>
      <w:r>
        <w:rPr>
          <w:rFonts w:ascii="Times New Roman" w:hAnsi="Times New Roman"/>
          <w:sz w:val="20"/>
          <w:u w:val="single"/>
        </w:rPr>
        <w:t>Certification Regarding Beneficial Owners</w:t>
      </w:r>
      <w:r>
        <w:rPr>
          <w:rFonts w:ascii="Times New Roman" w:hAnsi="Times New Roman"/>
          <w:sz w:val="20"/>
        </w:rPr>
        <w:t xml:space="preserve">. The Company has delivered to the Representatives a properly completed and executed Certification Regarding Beneficial Owners of Legal Entity Customers, and, if required, copies of identifying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(eee) </w:t>
      </w:r>
      <w:r>
        <w:rPr>
          <w:rFonts w:ascii="Times New Roman" w:hAnsi="Times New Roman"/>
          <w:sz w:val="20"/>
          <w:u w:val="single"/>
        </w:rPr>
        <w:t>No Acquisitions or Dispositions</w:t>
      </w:r>
      <w:r>
        <w:rPr>
          <w:rFonts w:ascii="Times New Roman" w:hAnsi="Times New Roman"/>
          <w:sz w:val="20"/>
        </w:rPr>
        <w:t xml:space="preserve">. Except as are described in the Registration Statement, the General Disclosure Package and the Prospectus, there are no contracts, letters of intent, term sheets, agreements, arrangements or understandings with respect to the direct or indirect acquisition or disposition by the Company of material interests in real or personal property. </w:t>
      </w:r>
    </w:p>
    <w:p>
      <w:pPr>
        <w:pStyle w:val="TextBody"/>
        <w:bidi w:val="0"/>
        <w:spacing w:before="120" w:after="0"/>
        <w:jc w:val="left"/>
        <w:rPr>
          <w:rFonts w:ascii="Times New Roman" w:hAnsi="Times New Roman"/>
          <w:sz w:val="20"/>
        </w:rPr>
      </w:pPr>
      <w:r>
        <w:rPr>
          <w:rFonts w:ascii="Times New Roman" w:hAnsi="Times New Roman"/>
          <w:sz w:val="20"/>
        </w:rPr>
        <w:t xml:space="preserve">(fff) </w:t>
      </w:r>
      <w:r>
        <w:rPr>
          <w:rFonts w:ascii="Times New Roman" w:hAnsi="Times New Roman"/>
          <w:sz w:val="20"/>
          <w:u w:val="single"/>
        </w:rPr>
        <w:t>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i/>
          <w:sz w:val="20"/>
        </w:rPr>
        <w:t>Covered Activity</w:t>
      </w:r>
      <w:r>
        <w:rPr>
          <w:rFonts w:ascii="Times New Roman" w:hAnsi="Times New Roman"/>
          <w:sz w:val="20"/>
        </w:rPr>
        <w:t xml:space="preserve">”). The Company does not have any joint ventures that engage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or on behalf of the Company and delivered to the Representatives or to counsel for the Underwriters shall be deemed to be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i/>
          <w:sz w:val="20"/>
        </w:rPr>
        <w:t>3.</w:t>
      </w:r>
      <w:r>
        <w:rPr>
          <w:rFonts w:ascii="Times New Roman" w:hAnsi="Times New Roman"/>
          <w:sz w:val="20"/>
        </w:rPr>
        <w:t xml:space="preserve"> </w:t>
      </w:r>
      <w:r>
        <w:rPr>
          <w:rFonts w:ascii="Times New Roman" w:hAnsi="Times New Roman"/>
          <w:i/>
          <w:sz w:val="20"/>
        </w:rPr>
        <w:t>PURCHASE, SALE AND DELIVERY OF OFFERED SECURITIES</w:t>
      </w:r>
      <w:r>
        <w:rPr>
          <w:rFonts w:ascii="Times New Roman" w:hAnsi="Times New Roman"/>
          <w:sz w:val="20"/>
        </w:rPr>
        <w:t xml:space="preserve">. On the basis of the representations, warranties and agreements herein contained, but subject to the terms and conditions herein set forth, the Company agrees to sell to the Underwriters, and the Underwriters agree, severally and not jointly, to purchase from the Company the respective numbers of shares of Firm Stock set forth opposite the names of the Underwriters in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purchase price per share to be paid by the Underwriters to the Company for the Stock will be $4.70 per share (the “</w:t>
      </w:r>
      <w:r>
        <w:rPr>
          <w:rFonts w:ascii="Times New Roman" w:hAnsi="Times New Roman"/>
          <w:b/>
          <w:i/>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deliver the Firm Stock to the Representatives for the respective accounts of the several Underwriters, through the facilities of The Depository Trust Company, in each such case, issued in such names and in such denominations as the Representatives may direct by notice in writing to the Company given at or prior to 12:00 Noon, New York time, on the second (2nd) full business day preceding the Closing Date against payment of the aggregate Purchase Price therefor by wire transfer in federal (same day) funds to an account at a bank specified by the Company payable to the order of the Company for the Firm Stock sold by them all at the offices of DLA Piper LLP (US), 701 5th Ave #6900, Seattle, WA 98104. Time shall be of the essence, and delivery at the time and place specified pursuant to this Agreement is a further condition of the obligations of each Underwriter hereunder. The time and date of the delivery and closing shall be at 10:00 A.M., New York time, on October 22, 2026, in accordance with Rule 15c6-1 of the Exchange Act. The time and date of such payment and delivery are herein referred to as the “</w:t>
      </w:r>
      <w:r>
        <w:rPr>
          <w:rFonts w:ascii="Times New Roman" w:hAnsi="Times New Roman"/>
          <w:b/>
          <w:i/>
          <w:sz w:val="20"/>
        </w:rPr>
        <w:t>Closing Date</w:t>
      </w:r>
      <w:r>
        <w:rPr>
          <w:rFonts w:ascii="Times New Roman" w:hAnsi="Times New Roman"/>
          <w:sz w:val="20"/>
        </w:rPr>
        <w:t xml:space="preserve">”. The Closing Date and the location of delivery of, and the form of payment for, the Firm Stock may be varied by agreement between the Company and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purchase all or less than all of the Optional Stock. The price per share to be paid for the Optional Stock shall be the Purchase Price. The Company agrees to sell to the Underwriters the number of shares of Optional Stock specified in the written notice delivered by the Representatives to the Company described below and the Underwriters agree, severally and not jointly, to purchase such shares of Optional Stock. Such shares of Optional Stock shall be purchased from the Company for the account of each Underwriter in the same proportion as the number of shares of Firm Stock set forth opposite such Underwriter’s name on </w:t>
      </w:r>
      <w:r>
        <w:rPr>
          <w:rFonts w:ascii="Times New Roman" w:hAnsi="Times New Roman"/>
          <w:sz w:val="20"/>
          <w:u w:val="single"/>
        </w:rPr>
        <w:t>Schedule A</w:t>
      </w:r>
      <w:r>
        <w:rPr>
          <w:rFonts w:ascii="Times New Roman" w:hAnsi="Times New Roman"/>
          <w:sz w:val="20"/>
        </w:rPr>
        <w:t xml:space="preserve"> bears to the total number of shares of Firm Stock (subject to adjustment by the Representatives to eliminate fractions). The option granted hereby may be exercised as to all or any part of the Optional Stock at any time, and from time to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notice of such exercise must be delivered not more than thirty (30) days subsequent to the date of this Agreement. No Optional Stock shall be sold and delivered unless the Firm Stock previously has been, or simultaneously is, sold and delivered. The right to purchase the Optional Stock or any portion thereof may be surrendered and terminated at any time upon notice by Representatives to the Company. </w:t>
      </w:r>
    </w:p>
    <w:p>
      <w:pPr>
        <w:pStyle w:val="TextBody"/>
        <w:bidi w:val="0"/>
        <w:spacing w:before="240" w:after="0"/>
        <w:jc w:val="left"/>
        <w:rPr>
          <w:rFonts w:ascii="Times New Roman" w:hAnsi="Times New Roman"/>
          <w:sz w:val="20"/>
        </w:rPr>
      </w:pPr>
      <w:r>
        <w:rPr>
          <w:rFonts w:ascii="Times New Roman" w:hAnsi="Times New Roman"/>
          <w:sz w:val="20"/>
        </w:rPr>
        <w:t>The option granted hereby shall be exercised by written notice being given to the Company by Representatives setting forth the number of shares of the Optional Stock to be purchased by the Underwriters and the date and time for delivery of and payment for the Optional Stock. Each date and time for delivery of and payment for the Optional Stock (which may be the Closing Date, but not earlier) is herein called the “</w:t>
      </w:r>
      <w:r>
        <w:rPr>
          <w:rFonts w:ascii="Times New Roman" w:hAnsi="Times New Roman"/>
          <w:b/>
          <w:i/>
          <w:sz w:val="20"/>
        </w:rPr>
        <w:t>Option Closing Date</w:t>
      </w:r>
      <w:r>
        <w:rPr>
          <w:rFonts w:ascii="Times New Roman" w:hAnsi="Times New Roman"/>
          <w:sz w:val="20"/>
        </w:rPr>
        <w:t>” and shall in no event be earlier than two (2) business days nor later than five (5) business days after written notice is given. The Option Closing Date and the Closing Date are herein called the “</w:t>
      </w:r>
      <w:r>
        <w:rPr>
          <w:rFonts w:ascii="Times New Roman" w:hAnsi="Times New Roman"/>
          <w:b/>
          <w:i/>
          <w:sz w:val="20"/>
        </w:rPr>
        <w:t>Closing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deliver the Optional Stock to the Representatives for the respective accounts of the several Underwriters through the facilities of The Depository Trust Company issued in such names and in such denominations as the Representatives may direct by notice in writing to the Company given at or prior to 12:00 Noon, New York time, on the second (2nd) full business day preceding the Option Closing Date against payment of the aggregate Purchase Price therefor by wire transfer in federal (same day) funds to an account at a bank acceptable to the Representatives payable to the order of the Company all at the offices of DLA Piper LLP (US), 701 5th Ave #6900, Seattle, WA 98104. Time shall be of the essence, and delivery at the time and place specified pursuant to this Agreement is a further condition of the obligations of each Underwriter hereunder. The Option Closing Date and the location of delivery of, and the form of payment for, the Optional Stock may be varied by agreement between the Company and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several Underwriters propose to offer the Stock for sale upon the terms and conditions set forth in the Prospectus. The Company acknowledges and agrees that the Underwriters may offer and sell Stock to or through any affiliate of an Underwriter. </w:t>
      </w:r>
    </w:p>
    <w:p>
      <w:pPr>
        <w:pStyle w:val="TextBody"/>
        <w:bidi w:val="0"/>
        <w:spacing w:before="360" w:after="0"/>
        <w:jc w:val="left"/>
        <w:rPr>
          <w:rFonts w:ascii="Times New Roman" w:hAnsi="Times New Roman"/>
          <w:i/>
          <w:sz w:val="20"/>
        </w:rPr>
      </w:pPr>
      <w:r>
        <w:rPr>
          <w:rFonts w:ascii="Times New Roman" w:hAnsi="Times New Roman"/>
          <w:i/>
          <w:sz w:val="20"/>
        </w:rPr>
        <w:t xml:space="preserve">4. FURTHER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agrees with the several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Required Filings; Amendments or Supplements; Notice to the Representative</w:t>
      </w:r>
      <w:r>
        <w:rPr>
          <w:rFonts w:ascii="Times New Roman" w:hAnsi="Times New Roman"/>
          <w:sz w:val="20"/>
        </w:rPr>
        <w:t xml:space="preserve">. 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(2nd) business day following the execution and delivery of this Agreement or, if applicable, such earlier time as may be required by the Securities Act; to notify the Representatives immediately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the Registration Statement has been filed or becomes effective or any supplement to the General Disclosure Package or the Prospectus or any amended Prospectus or any Issuer Free Writing Prospectus or any Written Testing-the-Waters Communication has been filed and to furnish the Underwriters with copies thereof; to file promptly all material required to be filed by the Company with the Commission pursuant to Rules 433(d) or 163(b)(2) of the Rules and Regulations, as the case may be;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of the Rules and Regulations) is required in connection with the offering or sale of the Stock; to advise the Representatives,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Stock for offering or sale in any jurisdiction, of the initiation or, to the Company’s knowledge, threatening of any proceeding for any such purpose, or of any request by the Commission for the amending or supplementing of the Registration Statement, the General Disclosure Package or the Prospectus or for additional information including, but not limited to, any request for information concerning any Testing-the-Waters Communication;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Emerging Growth Company</w:t>
      </w:r>
      <w:r>
        <w:rPr>
          <w:rFonts w:ascii="Times New Roman" w:hAnsi="Times New Roman"/>
          <w:sz w:val="20"/>
        </w:rPr>
        <w:t xml:space="preserve">. The Company will promptly notify the Representatives if the Company ceases to be an Emerging Growth Company at any time prior to the later of (a) the completion of the distribution of the Firm Stock within the meaning of the Securities Act and (b)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required to be stated therein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Free Writing Prospectus</w:t>
      </w:r>
      <w:r>
        <w:rPr>
          <w:rFonts w:ascii="Times New Roman" w:hAnsi="Times New Roman"/>
          <w:sz w:val="20"/>
        </w:rPr>
        <w:t>.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Stock that would constitute a “free writing prospectus” as defined in Rule 405 of the Rules and Regulations unless the prior written consent of the Representatives has been received (each, a “</w:t>
      </w:r>
      <w:r>
        <w:rPr>
          <w:rFonts w:ascii="Times New Roman" w:hAnsi="Times New Roman"/>
          <w:b/>
          <w:i/>
          <w:sz w:val="20"/>
        </w:rPr>
        <w:t>Permitted Free Writing Prospectus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prior written consent of the Representatives hereto shall be deemed to have been given in respect of the Issuer Free Writing Prospectuses included in </w:t>
      </w:r>
      <w:r>
        <w:rPr>
          <w:rFonts w:ascii="Times New Roman" w:hAnsi="Times New Roman"/>
          <w:sz w:val="20"/>
          <w:u w:val="single"/>
        </w:rPr>
        <w:t>Schedule B</w:t>
      </w:r>
      <w:r>
        <w:rPr>
          <w:rFonts w:ascii="Times New Roman" w:hAnsi="Times New Roman"/>
          <w:sz w:val="20"/>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Ongoing Compliance</w:t>
      </w:r>
      <w:r>
        <w:rPr>
          <w:rFonts w:ascii="Times New Roman" w:hAnsi="Times New Roman"/>
          <w:sz w:val="20"/>
        </w:rPr>
        <w:t xml:space="preserve">. If at any time prior to the date when a prospectus relating to the Stock is required to be delivered (or in lieu thereof, the notice referred to in Rule 173(a) under the Securities Act)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the Registration Statement or the Prospectus or to file under the Exchange Act any document incorporated by reference in the Prospectus to comply with the Securities Act or the Exchange Act, that the Company will promptly notify the Representatives thereof and upon their request will prepare an appropriate amendment or supplement in form and substance satisfactory to the Representatives which will correct such statement or omission or effect such compliance and will use its reasonable best efforts to have any amendment to the Registration Statement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Stock,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reasonably request of such amended or supplemented Prospectus complying with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 to General Disclosure Package</w:t>
      </w:r>
      <w:r>
        <w:rPr>
          <w:rFonts w:ascii="Times New Roman" w:hAnsi="Times New Roman"/>
          <w:sz w:val="20"/>
        </w:rPr>
        <w:t xml:space="preserve">. If the General Disclosure Package is being used to solicit offers to buy the Stock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 to Issuer Free Writing Prospectus</w:t>
      </w:r>
      <w:r>
        <w:rPr>
          <w:rFonts w:ascii="Times New Roman" w:hAnsi="Times New Roman"/>
          <w:sz w:val="20"/>
        </w:rPr>
        <w:t xml:space="preserve">. 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Delivery of Registration Statement</w:t>
      </w:r>
      <w:r>
        <w:rPr>
          <w:rFonts w:ascii="Times New Roman" w:hAnsi="Times New Roman"/>
          <w:sz w:val="20"/>
        </w:rPr>
        <w:t>. To the extent not available on the Commission’s Electronic Data Gathering, Analysis and Retrieval system or any successor system (“</w:t>
      </w:r>
      <w:r>
        <w:rPr>
          <w:rFonts w:ascii="Times New Roman" w:hAnsi="Times New Roman"/>
          <w:b/>
          <w:i/>
          <w:sz w:val="20"/>
        </w:rPr>
        <w:t>EDGAR</w:t>
      </w:r>
      <w:r>
        <w:rPr>
          <w:rFonts w:ascii="Times New Roman" w:hAnsi="Times New Roman"/>
          <w:sz w:val="20"/>
        </w:rPr>
        <w:t xml:space="preserve">”), upon the request of the Representatives, to furnish promptly to the Representatives and to counsel for the Underwriters a signed copy of the Registration Statement as originally filed with the Commission, and of each amendment thereto filed with the Commission, including all consents and exhibits filed therewith.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Delivery of Copies</w:t>
      </w:r>
      <w:r>
        <w:rPr>
          <w:rFonts w:ascii="Times New Roman" w:hAnsi="Times New Roman"/>
          <w:sz w:val="20"/>
        </w:rPr>
        <w:t xml:space="preserve">. Upon request of the Representatives, to the extent not available on EDGAR, to deliver promptly to the Representatives in New York City such number of the following documents as the Representatives shall reasonably request: (i) conformed copies of the Registration Statement as originally filed with the Commission (in each case excluding exhibits), (ii) each Preliminary Prospectus, (iii) any Issuer Free Writing Prospectus, (iv) the Prospectus (the delivery of the documents referred to in clauses (i), (ii), (iii) and (iv) of this paragraph (h) to be made not later than 10:00 A.M., New York time, on the business day following the execution and delivery of this Agreement), (v) conformed copies of any amendment to the Registration Statement (excluding exhibits), (vi) any amendment or supplement to the General Disclosure Package or the Prospectus (the delivery of the documents referred to in clauses (v) and (vi) of this paragraph (h) to be made not later than 10:00 A.M., New York time, on the business day following the date of such amendment or supplement) and (vii) any document incorporated by reference in the General Disclosure Package or the Prospectus (excluding exhibits thereto) (the delivery of the documents referred to in clause (vii) of this paragraph (h) to be made not later than 10:00 A.M., New York time, on the business day following the date of such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Earnings Statement</w:t>
      </w:r>
      <w:r>
        <w:rPr>
          <w:rFonts w:ascii="Times New Roman" w:hAnsi="Times New Roman"/>
          <w:sz w:val="20"/>
        </w:rPr>
        <w:t xml:space="preserve">. To make generally available to its stockholders as soon as practicable, but in any event not later than sixteen (16) months after the effective date of the Registration Statement (as defined in Rule 158(c) of the Rules and Regulations), an earnings statement of the Company and its subsidiaries (which need not be audited) complying with Section 11(a) of the Securities Act (including, at the option of the Company, Rule 158). However, so long as the Company is subject to the reporting requirements of either Section 13 or Section 15(d) of the Exchange Act and is timely filing reports with the Commission on its EDGAR system, it is not required to furnish such annual reports or quarterly financial statements to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Blue Sky Compliance</w:t>
      </w:r>
      <w:r>
        <w:rPr>
          <w:rFonts w:ascii="Times New Roman" w:hAnsi="Times New Roman"/>
          <w:sz w:val="20"/>
        </w:rPr>
        <w:t xml:space="preserve">. To take promptly from time to time such actions as the Representatives may reasonably request to qualify the Stock for offering and sale under the securities or Blue Sky laws of such jurisdictions (domestic or foreign) as the Representatives may reasonably designate and to continue such qualifications in effect, and to comply with such laws, for so long as required to permit the offer and sale of Stock in such jurisdictions; </w:t>
      </w:r>
      <w:r>
        <w:rPr>
          <w:rFonts w:ascii="Times New Roman" w:hAnsi="Times New Roman"/>
          <w:i/>
          <w:sz w:val="20"/>
        </w:rPr>
        <w:t>provided</w:t>
      </w:r>
      <w:r>
        <w:rPr>
          <w:rFonts w:ascii="Times New Roman" w:hAnsi="Times New Roman"/>
          <w:sz w:val="20"/>
        </w:rPr>
        <w:t xml:space="preserve"> that the Company and its subsidiaries shall not be obligated to (i) qualify as foreign corporations in any jurisdiction in which they are not so qualified, (ii) file a general consent to service of process in any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Reports</w:t>
      </w:r>
      <w:r>
        <w:rPr>
          <w:rFonts w:ascii="Times New Roman" w:hAnsi="Times New Roman"/>
          <w:sz w:val="20"/>
        </w:rPr>
        <w:t xml:space="preserve">. Upon request, during the period of three (3) years from the date hereof, to deliver to each of the Underwriters, (i) as soon as they are available, copies of all reports or other communications (financial or other) furnished to stockholders of the Company, and (ii) as soon as they are available, copies of any reports and financial statements furnished or filed with the Commission or any national securities exchange on which the Stock is listed. However, so long as the Company is subject to the reporting requirements of either Section 13 or Section 15(d) of the Exchange Act and is timely filing reports with the Commission on its EDGAR system , it is not required to furnish such reports or statements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Lock-Up</w:t>
      </w:r>
      <w:r>
        <w:rPr>
          <w:rFonts w:ascii="Times New Roman" w:hAnsi="Times New Roman"/>
          <w:sz w:val="20"/>
        </w:rPr>
        <w:t>. During the period commencing on and including the date hereof and ending on and including the 90th day following the date of this Agreement (the “</w:t>
      </w:r>
      <w:r>
        <w:rPr>
          <w:rFonts w:ascii="Times New Roman" w:hAnsi="Times New Roman"/>
          <w:b/>
          <w:i/>
          <w:sz w:val="20"/>
        </w:rPr>
        <w:t>Lock-Up Period</w:t>
      </w:r>
      <w:r>
        <w:rPr>
          <w:rFonts w:ascii="Times New Roman" w:hAnsi="Times New Roman"/>
          <w:sz w:val="20"/>
        </w:rPr>
        <w:t xml:space="preserve">”),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Common Stock, options, rights or warrants to acquire Common Stock or securities exchangeable or exercisable for or convertible into Common Stock (other than is contemplated by this Agreement with respect to the Stock) or publicly announce any intention to do any of the foregoing; </w:t>
      </w:r>
      <w:r>
        <w:rPr>
          <w:rFonts w:ascii="Times New Roman" w:hAnsi="Times New Roman"/>
          <w:i/>
          <w:sz w:val="20"/>
        </w:rPr>
        <w:t>provided, however</w:t>
      </w:r>
      <w:r>
        <w:rPr>
          <w:rFonts w:ascii="Times New Roman" w:hAnsi="Times New Roman"/>
          <w:sz w:val="20"/>
        </w:rPr>
        <w:t xml:space="preserve">, that the Company may (i) issue Common Stock and options to purchase Common Stock, shares of Common Stock underlying options granted and other securities, each pursuant to any director or employee stock option plan, stock ownership plan or dividend reinvestment plan of the Company in effect on the date hereof and described in the General Disclosure Package; (ii) issue Common Stock pursuant to the conversion of securities or the exercise of options or warrants, which securities, options or warrants are outstanding on the date hereof and described in the General Disclosure Package; (iii) issue Common Stock or other securities to a third party in connection with a bona fide commercial relationship (including strategic partnerships, joint ventures, marketing or distribution arrangements, collaboration agreements or acquisition or license of any business products, technology or intellectual property) or any bona fide acquisition of assets of not less than a majority or controlling portion of the equity of another entity, provided that the aggregate number of shares of Common Stock that the Company may sell or issue or agree to sell or issue shall not exceed 10% of the total number of shares of Common Stock issued and outstanding immediately subsequent to the completion of the transactions contemplated by this Agreement, and provided further that it shall be a condition to the sale, issuance or transfer of shares of any such securities that the transferee executes and delivers to the Representatives, acting on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Underwriters, not later than one business day prior to such transfer, a written agreement, in substantially the form of Exhibit I hereto, and otherwise satisfactory in form and substance to the Representatives, and provided further that such shares of Common Stock are issued as “restricted securities” (as defined in Rule 144) and carry no registration rights that require or permit the filing of any registration statement in connection therewith during the Lock-Up Period; and (iv) adopt a new equity incentive plan, and file a registration statement on Form S-8 under the Securities Act to register the offer and sale of securities to be issued pursuant to such new equity incentive plan, and issue securities pursuant to such new equity incentive plan (including, without limitation, the issuance of shares of Common Stock upon the exercise of options or other securities issued pursuant to such new equity incentive plan), </w:t>
      </w:r>
      <w:r>
        <w:rPr>
          <w:rFonts w:ascii="Times New Roman" w:hAnsi="Times New Roman"/>
          <w:i/>
          <w:sz w:val="20"/>
        </w:rPr>
        <w:t>provided</w:t>
      </w:r>
      <w:r>
        <w:rPr>
          <w:rFonts w:ascii="Times New Roman" w:hAnsi="Times New Roman"/>
          <w:sz w:val="20"/>
        </w:rPr>
        <w:t xml:space="preserve"> that (1) such new equity incentive plan satisfies the transaction requirements of General Instruction A.1 of Form S-8 under the Securities Act and (2) this clause (iv) shall not be available unless each recipient of shares of Common Stock, or securities exchangeable or exercisable for or convertible into Common Stock, pursuant to such new equity incentive plan shall be contractually prohibited from selling, offering, disposing of or otherwise transferring any such shares or securities during the remainder of the Lock-Up Period. The Company will cause each officer, director and certain other securityholders of the Company to furnish to the Representative, prior to the Closing Date, a “lock-up” agreement, substantially in the form of </w:t>
      </w:r>
      <w:r>
        <w:rPr>
          <w:rFonts w:ascii="Times New Roman" w:hAnsi="Times New Roman"/>
          <w:sz w:val="20"/>
          <w:u w:val="single"/>
        </w:rPr>
        <w:t>Exhibit I</w:t>
      </w:r>
      <w:r>
        <w:rPr>
          <w:rFonts w:ascii="Times New Roman" w:hAnsi="Times New Roman"/>
          <w:sz w:val="20"/>
        </w:rPr>
        <w:t xml:space="preserve"> hereto. In addition, the Company will direct the transfer agent to place stop transfer restrictions upon any such securities of the Company that are bound by such “lock-up”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Delivery of SEC Correspondence</w:t>
      </w:r>
      <w:r>
        <w:rPr>
          <w:rFonts w:ascii="Times New Roman" w:hAnsi="Times New Roman"/>
          <w:sz w:val="20"/>
        </w:rPr>
        <w:t xml:space="preserve">. To supply the Underwriters with copies of all correspondence to and from, and all documents issued to and by, the Commission in connection with the registration of the Stock under the Securities Act or any of the Registration Statement, any Preliminary Prospectus or the Prospectus, or any amendment or supplement thereto or document incorporated by reference therein.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Press Releases</w:t>
      </w:r>
      <w:r>
        <w:rPr>
          <w:rFonts w:ascii="Times New Roman" w:hAnsi="Times New Roman"/>
          <w:sz w:val="20"/>
        </w:rPr>
        <w:t xml:space="preserve">. Prior to the Closing Date,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are notified), without the prior consent of the Representatives, unless in the judgment of the Company and its counsel, and after notification to the Representatives, such press release or communication is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Compliance with Regulation M</w:t>
      </w:r>
      <w:r>
        <w:rPr>
          <w:rFonts w:ascii="Times New Roman" w:hAnsi="Times New Roman"/>
          <w:sz w:val="20"/>
        </w:rPr>
        <w:t xml:space="preserve">. Until the Underwriters shall have notified the Company of the completion of the resale of the Stock, that the Company will not, and will use its reasonable best efforts to cause its affiliated purchasers (as defined in Regulation M under the Exchange Act) not to, either alone or with one or more other persons, bid for or purchase, for any account in which it or any of its affiliated purchasers has a beneficial interest, any Stock, or attempt to induce any person to purchase any Stock; and not to, and to use its reasonable best efforts to cause its affiliated purchasers not to, make bids or purchase for the purpose of creating actual, or apparent, active trading in or of raising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Registrar and Transfer Agent</w:t>
      </w:r>
      <w:r>
        <w:rPr>
          <w:rFonts w:ascii="Times New Roman" w:hAnsi="Times New Roman"/>
          <w:sz w:val="20"/>
        </w:rPr>
        <w:t xml:space="preserve">. To maintain, at its expense, a registrar and transfer agent for the Stock.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Use of Proceeds</w:t>
      </w:r>
      <w:r>
        <w:rPr>
          <w:rFonts w:ascii="Times New Roman" w:hAnsi="Times New Roman"/>
          <w:sz w:val="20"/>
        </w:rPr>
        <w:t xml:space="preserve">. To apply the net proceeds from the sale of the Stock as set forth in the Registration Statement, the General Disclosure Package and the Prospectus under the heading “Use of Proceeds,” and except as disclosed in the General Disclosure Package, the Company does not intend to use any of the proceeds from the sale of the Stock hereunder to repay any outstanding debt owed to any affiliate of any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Exchange Listing</w:t>
      </w:r>
      <w:r>
        <w:rPr>
          <w:rFonts w:ascii="Times New Roman" w:hAnsi="Times New Roman"/>
          <w:sz w:val="20"/>
        </w:rPr>
        <w:t xml:space="preserve">. To use its reasonable best efforts to list, subject to notice of issuance, the Stock on the Exchange.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Performance of Covenants and Satisfaction of Conditions</w:t>
      </w:r>
      <w:r>
        <w:rPr>
          <w:rFonts w:ascii="Times New Roman" w:hAnsi="Times New Roman"/>
          <w:sz w:val="20"/>
        </w:rPr>
        <w:t xml:space="preserve">. To use its reasonable best efforts to do and perform all things required to be done or performed under this Agreement by the Company prior to each Closing Date and to satisfy all conditions precedent to the delivery of the Firm Stock and the Optional Stock. </w:t>
      </w:r>
    </w:p>
    <w:p>
      <w:pPr>
        <w:pStyle w:val="TextBody"/>
        <w:bidi w:val="0"/>
        <w:spacing w:before="240" w:after="0"/>
        <w:jc w:val="left"/>
        <w:rPr>
          <w:rFonts w:ascii="Times New Roman" w:hAnsi="Times New Roman"/>
          <w:sz w:val="20"/>
        </w:rPr>
      </w:pPr>
      <w:r>
        <w:rPr>
          <w:rFonts w:ascii="Times New Roman" w:hAnsi="Times New Roman"/>
          <w:i/>
          <w:sz w:val="20"/>
        </w:rPr>
        <w:t>5.</w:t>
      </w:r>
      <w:r>
        <w:rPr>
          <w:rFonts w:ascii="Times New Roman" w:hAnsi="Times New Roman"/>
          <w:sz w:val="20"/>
        </w:rPr>
        <w:t xml:space="preserve"> </w:t>
      </w:r>
      <w:r>
        <w:rPr>
          <w:rFonts w:ascii="Times New Roman" w:hAnsi="Times New Roman"/>
          <w:i/>
          <w:sz w:val="20"/>
        </w:rPr>
        <w:t>PAYMENT OF EXPENSES</w:t>
      </w:r>
      <w:r>
        <w:rPr>
          <w:rFonts w:ascii="Times New Roman" w:hAnsi="Times New Roman"/>
          <w:sz w:val="20"/>
        </w:rPr>
        <w:t xml:space="preserve">. The Company agrees to pay, or reimburse if paid by any Underwriter, whether or not the transactions contemplated hereby are consummated or this Agreement is terminated: (a) the costs incident to the authorization, issuance, sale, preparation and delivery of the Stock and any taxes payable in that connection; (b) the costs incident to the registration of the Stock under the Securities Act; (c) the costs incident to the preparation, printing and distribution of the Registration Statement, any Preliminary Prospectus, any Issuer Free Writing Prospectus, the General Disclosure Package, the Prospectus, any amendments, supplements and exhibits thereto or any document incorporated by reference therein and the costs of printing, reproducing and distributing the Underwriters’ Questionnaire, this Agreement and any closing documents by mail or other means of communications; (d) the actual, reasonable and documented fees and expenses (including related fees and expenses of counsel for the Underwriters) incurred in connection with securing any required review by FINRA of the terms of the sale of the Stock and any filings made with FINRA; (e) any applicable listing or other fees; (f) the actual, reasonable and documented fees and expenses (including related fees and expenses of counsel to the Underwriters) of qualifying the Stock under the securities laws of the several jurisdictions as provided in Section 4(j) and of preparing, printing and distributing wrappers, Blue Sky Memoranda and Legal Investment Surveys; (g) the cost of preparing and printing stock certificates; (h) all fees and expenses of the registrar and transfer agent of the Stock; (i) the costs and expenses of the Company relating to investor presentations on any “road show” undertaken in connection with the marketing of the offering of the Stock,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and fifty percent (50%) of the cost of any aircraft chartered in connection with the road show with the prior consent of the Company (and the Underwriters shall pay 50% of the cost of any such aircraft), and (j) all other costs and expenses incident to the offering of the Stock or the performance of the obligations of the Company under this Agreement (including, without limitation, the fees and expenses of the Company’s counsel and the Company’s independent accountants); </w:t>
      </w:r>
      <w:r>
        <w:rPr>
          <w:rFonts w:ascii="Times New Roman" w:hAnsi="Times New Roman"/>
          <w:i/>
          <w:sz w:val="20"/>
        </w:rPr>
        <w:t>provided</w:t>
      </w:r>
      <w:r>
        <w:rPr>
          <w:rFonts w:ascii="Times New Roman" w:hAnsi="Times New Roman"/>
          <w:sz w:val="20"/>
        </w:rPr>
        <w:t xml:space="preserve"> that, the amount payable by the Company in respect of the fees and expenses of counsel for the Underwriters pursuant to the foregoing clauses (d) and (f) shall not exceed $20,000 in the aggregate; </w:t>
      </w:r>
      <w:r>
        <w:rPr>
          <w:rFonts w:ascii="Times New Roman" w:hAnsi="Times New Roman"/>
          <w:i/>
          <w:sz w:val="20"/>
        </w:rPr>
        <w:t xml:space="preserve">provided, further that, </w:t>
      </w:r>
      <w:r>
        <w:rPr>
          <w:rFonts w:ascii="Times New Roman" w:hAnsi="Times New Roman"/>
          <w:sz w:val="20"/>
        </w:rPr>
        <w:t xml:space="preserve">except to the extent otherwise provided in this Section 5 and in Sections 9 and 10, the Underwriters shall pay their own costs and expenses, including the fees and expenses of their counsel not contemplated herein, any transfer taxes on the resale of any Stock by them and the expenses of advertising any offering of the Stock made by the Underwriters. </w:t>
      </w:r>
    </w:p>
    <w:p>
      <w:pPr>
        <w:pStyle w:val="TextBody"/>
        <w:bidi w:val="0"/>
        <w:spacing w:before="240" w:after="0"/>
        <w:jc w:val="left"/>
        <w:rPr>
          <w:rFonts w:ascii="Times New Roman" w:hAnsi="Times New Roman"/>
          <w:sz w:val="20"/>
        </w:rPr>
      </w:pPr>
      <w:r>
        <w:rPr>
          <w:rFonts w:ascii="Times New Roman" w:hAnsi="Times New Roman"/>
          <w:i/>
          <w:sz w:val="20"/>
        </w:rPr>
        <w:t>6.</w:t>
      </w:r>
      <w:r>
        <w:rPr>
          <w:rFonts w:ascii="Times New Roman" w:hAnsi="Times New Roman"/>
          <w:sz w:val="20"/>
        </w:rPr>
        <w:t xml:space="preserve"> </w:t>
      </w:r>
      <w:r>
        <w:rPr>
          <w:rFonts w:ascii="Times New Roman" w:hAnsi="Times New Roman"/>
          <w:i/>
          <w:sz w:val="20"/>
        </w:rPr>
        <w:t>CONDITIONS OF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respective obligations of the several Underwriters hereunder are subject to the accuracy, when made and as of the Applicable Time and on each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Compliance; No Stop Orders</w:t>
      </w:r>
      <w:r>
        <w:rPr>
          <w:rFonts w:ascii="Times New Roman" w:hAnsi="Times New Roman"/>
          <w:sz w:val="20"/>
        </w:rPr>
        <w:t xml:space="preserve">. The Registration Statement has become effective under the Securities Act, and no stop order suspending the effectiveness of the Registration Statement or any part thereof, preventing or suspending the use of any Preliminary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4(a),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Misstatements</w:t>
      </w:r>
      <w:r>
        <w:rPr>
          <w:rFonts w:ascii="Times New Roman" w:hAnsi="Times New Roman"/>
          <w:sz w:val="20"/>
        </w:rPr>
        <w:t xml:space="preserve">. None of the Underwriters shall have discovered and disclosed to the Company on or prior to such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Corporate Proceedings</w:t>
      </w:r>
      <w:r>
        <w:rPr>
          <w:rFonts w:ascii="Times New Roman" w:hAnsi="Times New Roman"/>
          <w:sz w:val="20"/>
        </w:rPr>
        <w:t xml:space="preserve">. All corporate proceedings and other legal matters incident to the authorization, form and validity of each of this Agreement, the Stock, the Registration Statement, the General Disclosure Package, each Issuer Free Writing Prospectus and the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Opinion and 10b-5 Statement of Counsel for the Company</w:t>
      </w:r>
      <w:r>
        <w:rPr>
          <w:rFonts w:ascii="Times New Roman" w:hAnsi="Times New Roman"/>
          <w:i/>
          <w:sz w:val="20"/>
        </w:rPr>
        <w:t>.</w:t>
      </w:r>
      <w:r>
        <w:rPr>
          <w:rFonts w:ascii="Times New Roman" w:hAnsi="Times New Roman"/>
          <w:sz w:val="20"/>
        </w:rPr>
        <w:t xml:space="preserve"> Paul Hastings LLP shall have furnished to the Representatives such counsel’s written opinion and 10b-5 Statement, as counsel to the Company, addressed to the Underwriters and dated such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Opinion and 10b-5 Statement of Counsel for the Underwriters.</w:t>
      </w:r>
      <w:r>
        <w:rPr>
          <w:rFonts w:ascii="Times New Roman" w:hAnsi="Times New Roman"/>
          <w:sz w:val="20"/>
        </w:rPr>
        <w:t xml:space="preserve"> The Representatives shall have received from DLA Piper LLP (US), counsel for the Underwriters, such opinion or opinions and 10b-5 Statement, dated such Closing Date, with respect to such matters as the Underwriters may reasonably require, and the Company shall have furnished to such counsel such documents as they request for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Comfort Letter</w:t>
      </w:r>
      <w:r>
        <w:rPr>
          <w:rFonts w:ascii="Times New Roman" w:hAnsi="Times New Roman"/>
          <w:sz w:val="20"/>
        </w:rPr>
        <w:t xml:space="preserve">. At the time of the execution of this Agreement, the Representatives shall have received from Grant Thornton LLP a letter, addressed to the Underwriters, executed and dated such date, in form and substance satisfactory to the Representatives (i) confirming that they are an independent registered accounting firm with respect to the Company and its subsidiaries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Bring Down Comfort</w:t>
      </w:r>
      <w:r>
        <w:rPr>
          <w:rFonts w:ascii="Times New Roman" w:hAnsi="Times New Roman"/>
          <w:sz w:val="20"/>
        </w:rPr>
        <w:t>. On the effective date of any post-effective amendment to the Registration Statement and on such Closing Date, the Representatives shall have received a letter (the “</w:t>
      </w:r>
      <w:r>
        <w:rPr>
          <w:rFonts w:ascii="Times New Roman" w:hAnsi="Times New Roman"/>
          <w:b/>
          <w:i/>
          <w:sz w:val="20"/>
        </w:rPr>
        <w:t>bring-down letter</w:t>
      </w:r>
      <w:r>
        <w:rPr>
          <w:rFonts w:ascii="Times New Roman" w:hAnsi="Times New Roman"/>
          <w:sz w:val="20"/>
        </w:rPr>
        <w:t xml:space="preserve">”) from Grant Thornton LLP addressed to the Underwriters and dated such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(f) of this Section 6.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Officer’s Certificate</w:t>
      </w:r>
      <w:r>
        <w:rPr>
          <w:rFonts w:ascii="Times New Roman" w:hAnsi="Times New Roman"/>
          <w:sz w:val="20"/>
        </w:rPr>
        <w:t xml:space="preserve">. The Company shall have furnished to the Representatives a certificate, dated such Closing Date, of its Chief Executive Officer or President and its Chief Financial Officer stating in their respective capacities as officers of the Company on behalf of the Company that (i) 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Closing Date, there has not occurred any Material Adverse Effect, (iii) to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(iv) there has not been, subsequent to the date of the most recent audited financial statements included or incorporated by reference in the General Disclosure Package, any Material Adverse Effect in the financial position or results of operations of the Company, or any change or development that, singularly or in the aggregate, would reasonably be expected to involve a Material Adverse Effect, except as set forth in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Effect</w:t>
      </w:r>
      <w:r>
        <w:rPr>
          <w:rFonts w:ascii="Times New Roman" w:hAnsi="Times New Roman"/>
          <w:sz w:val="20"/>
        </w:rPr>
        <w:t xml:space="preserve">. Since the date of the latest audited financial statements included in the General Disclosure Package,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of its subsidiaries (other than as a result of the exercise of stock options or the award of equity in the ordinary course of business pursuant to the Company’s equity plans that are described in the General Disclosure Package), or any change, or any development involving a prospective change, in or affecting the business, general affairs, management, financial position, stockholders’ equity or results of operations of the Company and its subsidiaries, otherwise than as set forth in the General Disclosure Package, the effect of which, in any such case described in clause (i) or (ii) of this paragraph (i), is, in the judgment of the Representatives, so material and adverse as to make it impracticable or inadvisable to proceed with the sale or delivery of the Stock on the terms and in the manner contemplated in the General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Legal Impediment to Issuance</w:t>
      </w:r>
      <w:r>
        <w:rPr>
          <w:rFonts w:ascii="Times New Roman" w:hAnsi="Times New Roman"/>
          <w:sz w:val="20"/>
        </w:rPr>
        <w:t xml:space="preserve">. No action shall have been taken and no law, statute, rule, regulation or order shall have been enacted, adopted or issued by any governmental or regulatory agency or body which would prevent the issuance or sale of the Stock; and no injunction, restraining order or order of any other nature by any federal or state court of competent jurisdiction shall have been issued which would prevent the issuance or sale of the Stock or materially and adversely affect or potentially materially and adversely affect the business or operations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Downgrade</w:t>
      </w:r>
      <w:r>
        <w:rPr>
          <w:rFonts w:ascii="Times New Roman" w:hAnsi="Times New Roman"/>
          <w:sz w:val="20"/>
        </w:rPr>
        <w:t xml:space="preserve">. Subsequent to the execution and delivery of this Agreement (i) no downgrading shall have occurred in the Company’s corporate credit rating or the rating accorded the Company’s debt securities by any “nationally recognized statistical rating organization,” as that term is defined by the Commission for purposes of Rule 436(g)(2) of the Rules and Regulations and (ii) no such organization shall have publicly announced that it has under surveillance or review (other than an announcement with positive implications of a possible upgrading), the Company’s corporate credit rating or the rating of any of the Company’s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Market Conditions</w:t>
      </w:r>
      <w:r>
        <w:rPr>
          <w:rFonts w:ascii="Times New Roman" w:hAnsi="Times New Roman"/>
          <w:sz w:val="20"/>
        </w:rPr>
        <w:t xml:space="preserve">. Subsequent to the execution and delivery of this Agreement there shall not have occurred any of the following: (i) trading in any of the Company’s securities shall have been suspended or materially limited by the Commission or the Exchange, or trading in securities generally on the New York Stock Exchange, Nasdaq Global Select Market, the Exchange, Nasdaq Capital Market or the NYSE MKT LLC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judgment of the Representatives, impracticable or inadvisable to proceed with the sale or delivery of the Stock on the terms and in the manner contemplated in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Exchange Listing</w:t>
      </w:r>
      <w:r>
        <w:rPr>
          <w:rFonts w:ascii="Times New Roman" w:hAnsi="Times New Roman"/>
          <w:sz w:val="20"/>
        </w:rPr>
        <w:t xml:space="preserve">. The Company shall have filed a Listing of Additional Shares Notification Form with the Exchange and shall have received no objection thereto from the Exchange.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Good Standing</w:t>
      </w:r>
      <w:r>
        <w:rPr>
          <w:rFonts w:ascii="Times New Roman" w:hAnsi="Times New Roman"/>
          <w:sz w:val="20"/>
        </w:rPr>
        <w:t xml:space="preserve">. The Representatives shall have received on and as of such Closing Date satisfactory evidence of the good standing of the Company in its jurisdiction of organization and its good standing as a foreign entity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Lock Up Agreements</w:t>
      </w:r>
      <w:r>
        <w:rPr>
          <w:rFonts w:ascii="Times New Roman" w:hAnsi="Times New Roman"/>
          <w:sz w:val="20"/>
        </w:rPr>
        <w:t xml:space="preserve">. The Representatives shall have received the written agreements, substantially in the form of </w:t>
      </w:r>
      <w:r>
        <w:rPr>
          <w:rFonts w:ascii="Times New Roman" w:hAnsi="Times New Roman"/>
          <w:sz w:val="20"/>
          <w:u w:val="single"/>
        </w:rPr>
        <w:t>Exhibit I</w:t>
      </w:r>
      <w:r>
        <w:rPr>
          <w:rFonts w:ascii="Times New Roman" w:hAnsi="Times New Roman"/>
          <w:sz w:val="20"/>
        </w:rPr>
        <w:t xml:space="preserve"> hereto, of the officers, directors and certain other securityholders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Secretary’s Certificate</w:t>
      </w:r>
      <w:r>
        <w:rPr>
          <w:rFonts w:ascii="Times New Roman" w:hAnsi="Times New Roman"/>
          <w:sz w:val="20"/>
        </w:rPr>
        <w:t xml:space="preserve">. The Company shall have furnished to the Representatives a Secretary’s Certificate of the Company, in form and substance reasonably satisfactory to counsel for the Underwriters and customary for the type of offering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Chief Financial Officer Certificate</w:t>
      </w:r>
      <w:r>
        <w:rPr>
          <w:rFonts w:ascii="Times New Roman" w:hAnsi="Times New Roman"/>
          <w:sz w:val="20"/>
        </w:rPr>
        <w:t xml:space="preserve">. The Company shall have furnished to the Representatives a certificate, dated as of such Closing Date, of its Chief Financial Officer, in form and substance reasonably satisfactory to counsel for the Underwriters and customary for the type of offering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Additional Document</w:t>
      </w:r>
      <w:r>
        <w:rPr>
          <w:rFonts w:ascii="Times New Roman" w:hAnsi="Times New Roman"/>
          <w:sz w:val="20"/>
        </w:rPr>
        <w:t xml:space="preserve">. On or prior to such Closing Date,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evidence and certificates mentioned above or elsewhere in this Agreement shall be deemed to be in compliance with the provisions hereof only if they are in form and substance reasonably satisfactory to counsel for the Underwriters. </w:t>
      </w:r>
    </w:p>
    <w:p>
      <w:pPr>
        <w:pStyle w:val="TextBody"/>
        <w:bidi w:val="0"/>
        <w:spacing w:before="360" w:after="0"/>
        <w:jc w:val="left"/>
        <w:rPr>
          <w:rFonts w:ascii="Times New Roman" w:hAnsi="Times New Roman"/>
          <w:sz w:val="20"/>
        </w:rPr>
      </w:pPr>
      <w:r>
        <w:rPr>
          <w:rFonts w:ascii="Times New Roman" w:hAnsi="Times New Roman"/>
          <w:sz w:val="20"/>
        </w:rPr>
        <w:t xml:space="preserve">7. INDEMNIFICATION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Underwriters by the Company</w:t>
      </w:r>
      <w:r>
        <w:rPr>
          <w:rFonts w:ascii="Times New Roman" w:hAnsi="Times New Roman"/>
          <w:sz w:val="20"/>
        </w:rPr>
        <w:t xml:space="preserve">. The Company shall indemnify and hold harmless: </w:t>
      </w:r>
    </w:p>
    <w:p>
      <w:pPr>
        <w:pStyle w:val="TextBody"/>
        <w:bidi w:val="0"/>
        <w:spacing w:before="120" w:after="0"/>
        <w:jc w:val="left"/>
        <w:rPr>
          <w:rFonts w:ascii="Times New Roman" w:hAnsi="Times New Roman"/>
          <w:sz w:val="20"/>
        </w:rPr>
      </w:pPr>
      <w:r>
        <w:rPr>
          <w:rFonts w:ascii="Times New Roman" w:hAnsi="Times New Roman"/>
          <w:sz w:val="20"/>
        </w:rPr>
        <w:t>each Underwriter, its affiliates, directors, officers, managers, members, employees, representatives and agents and each person, if any, who controls any Underwriter within the meaning of Section 15 of the Securities Act or Section 20 of the Exchange Act (collectively the “</w:t>
      </w:r>
      <w:r>
        <w:rPr>
          <w:rFonts w:ascii="Times New Roman" w:hAnsi="Times New Roman"/>
          <w:b/>
          <w:i/>
          <w:sz w:val="20"/>
        </w:rPr>
        <w:t>Underwriter Indemnified Parties</w:t>
      </w:r>
      <w:r>
        <w:rPr>
          <w:rFonts w:ascii="Times New Roman" w:hAnsi="Times New Roman"/>
          <w:sz w:val="20"/>
        </w:rPr>
        <w:t>,” and each an “</w:t>
      </w:r>
      <w:r>
        <w:rPr>
          <w:rFonts w:ascii="Times New Roman" w:hAnsi="Times New Roman"/>
          <w:b/>
          <w:i/>
          <w:sz w:val="20"/>
        </w:rPr>
        <w:t>Underwriter Indemnified Party</w:t>
      </w:r>
      <w:r>
        <w:rPr>
          <w:rFonts w:ascii="Times New Roman" w:hAnsi="Times New Roman"/>
          <w:sz w:val="20"/>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Written Testing-the-Waters Communication, any Preliminary Prospectus, any Issuer Free Writing Prospectus, any “issuer information” filed or required to be filed pursuant to Rule 433(d) of the Rules and Regulations, the Registration Statement, the Prospectus, or in any amendment or supplement thereto or document incorporated by reference therein or in any materials or information provided to investors by, or with the approval of, the Company in connection with the marketing of the offering of the Common Stock, including any roadshow or investor presentations made to investors by the Company (whether in person or electronically) (“</w:t>
      </w:r>
      <w:r>
        <w:rPr>
          <w:rFonts w:ascii="Times New Roman" w:hAnsi="Times New Roman"/>
          <w:b/>
          <w:i/>
          <w:sz w:val="20"/>
        </w:rPr>
        <w:t>Marketing Materials</w:t>
      </w:r>
      <w:r>
        <w:rPr>
          <w:rFonts w:ascii="Times New Roman" w:hAnsi="Times New Roman"/>
          <w:sz w:val="20"/>
        </w:rPr>
        <w:t xml:space="preserve">”) or (B) the omission or alleged omission to state in any Written Testing-the-Waters Communication, any Preliminary Prospectus, any Issuer Free Writing Prospectus, any “issuer information” filed or required to be filed pursuant to Rule 433(d) of the Rules and Regulations, the Registration Statement or the Prospectus, or in any amendment or supplement thereto or document incorporated by reference therein or in any Marketing Materials, a material fact required to be stated therein or necessary to make the statements therein not misleading, and shall reimburse each Underwriter Indemnified Party promptly upon demand for any reasonable and documented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expense or liability arises out of or is based upon an untrue statement or alleged untrue statement in, or omission or alleged omission from any Preliminary Prospectus, the Registration Statement or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indemnity agreement in this Section 7(a) is not exclusive and is in addition to each other liability which the Company might have under this Agreement or otherwise, and shall not limit any rights or remedies which may otherwise be available under this Agreement, at law or in equity to any Underwriter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Company by the Underwriters</w:t>
      </w:r>
      <w:r>
        <w:rPr>
          <w:rFonts w:ascii="Times New Roman" w:hAnsi="Times New Roman"/>
          <w:sz w:val="20"/>
        </w:rPr>
        <w:t>. 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Times New Roman" w:hAnsi="Times New Roman"/>
          <w:b/>
          <w:i/>
          <w:sz w:val="20"/>
        </w:rPr>
        <w:t>Company Indemnified Parties</w:t>
      </w:r>
      <w:r>
        <w:rPr>
          <w:rFonts w:ascii="Times New Roman" w:hAnsi="Times New Roman"/>
          <w:sz w:val="20"/>
        </w:rPr>
        <w:t>” and each a “</w:t>
      </w:r>
      <w:r>
        <w:rPr>
          <w:rFonts w:ascii="Times New Roman" w:hAnsi="Times New Roman"/>
          <w:b/>
          <w:i/>
          <w:sz w:val="20"/>
        </w:rPr>
        <w:t>Company Indemnified Party</w:t>
      </w:r>
      <w:r>
        <w:rPr>
          <w:rFonts w:ascii="Times New Roman" w:hAnsi="Times New Roman"/>
          <w:sz w:val="20"/>
        </w:rPr>
        <w:t xml:space="preserve">”)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the Registration Statement or the Prospectus, or in any amendment or supplement thereto, or (ii) the omission or alleged omission to state in any Preliminary Prospectus, any Issuer Free Writing Prospectus, any “issuer information” filed or required to be filed pursuant to Rule 433(d) of the Rules and Regulations, the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under this Section 7 of notice of the commencement of any action, the indemnified party shall, if a claim in respect thereof is to be made against an indemnifying party under this Section 7, notify such indemnifying party in writing of the commencement of that action; </w:t>
      </w:r>
      <w:r>
        <w:rPr>
          <w:rFonts w:ascii="Times New Roman" w:hAnsi="Times New Roman"/>
          <w:i/>
          <w:sz w:val="20"/>
        </w:rPr>
        <w:t>provided, however,</w:t>
      </w:r>
      <w:r>
        <w:rPr>
          <w:rFonts w:ascii="Times New Roman" w:hAnsi="Times New Roman"/>
          <w:sz w:val="20"/>
        </w:rPr>
        <w:t xml:space="preserve"> that the failure to notify the indemnifying party shall not relieve it from any liability which it may have under this Section 7 except to the extent it has been materially prejudiced by such failure; and, </w:t>
      </w:r>
      <w:r>
        <w:rPr>
          <w:rFonts w:ascii="Times New Roman" w:hAnsi="Times New Roman"/>
          <w:i/>
          <w:sz w:val="20"/>
        </w:rPr>
        <w:t>provided, further,</w:t>
      </w:r>
      <w:r>
        <w:rPr>
          <w:rFonts w:ascii="Times New Roman" w:hAnsi="Times New Roman"/>
          <w:sz w:val="20"/>
        </w:rPr>
        <w:t xml:space="preserve"> that the failure to notify an indemnifying party shall not relieve it from any liability which it may have to an indemnified party otherwise than under this Section 7.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7 for any legal or other expenses subsequently incurred by the indemnified party in connection with the defense of such action other than reasonable costs of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7(a) or the Representatives in the case of a claim for indemnification under Section 7(b),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7 consist of any Underwriter Indemnified Party or by the Company if the indemnified parties under this Section 7 consist of any Company Indemnified Parties. Subject to this Section 7(c), the amount payable by an indemnifying party under Section 7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7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 7(a)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indemnification provided for in this Section 7 is unavailable or insufficient to hold harmless an indemnified party under Section 7(a) or 7(b),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Stock, or (ii) if the allocation provided by clause (i) of this Section 7(d) is not permitted by applicable law, in such proportion as is appropriate to reflect not only the relative benefits referred to in clause (i) of this Section 7(d)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Stock purchased under this Agreement (before deducting expenses) received by the Company bear to the total underwriting discounts and commissions received by the Underwriters with respect to the Stock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Times New Roman" w:hAnsi="Times New Roman"/>
          <w:i/>
          <w:sz w:val="20"/>
        </w:rPr>
        <w:t>provided</w:t>
      </w:r>
      <w:r>
        <w:rPr>
          <w:rFonts w:ascii="Times New Roman" w:hAnsi="Times New Roman"/>
          <w:sz w:val="20"/>
        </w:rPr>
        <w:t xml:space="preserve"> that the parties hereto agree that the written information furnished to the Company through the Representatives by or on behalf of the Underwriters for use in the Preliminary Prospectus, the Registration Statement or the Prospectus, or in any amendment or supplement thereto, consists solely of the Underwriters’ Information.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and equitable if contributions pursuant to Section 7(d) above were to be determined by pro rata allocation or by any other method of allocation which does not take into account the equitable considerations referred to in Section 7(d) above. The amount paid or payable by an indemnified party as a result of the loss, claim, damage, expense, liability, action, investigation or proceeding referred to in Section 7(d)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 no Underwriters shall be required to contribute any amount in excess of the amount by which the total underwriting discounts and commissions received by such Underwriter with respect to the offering of the Stock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7 are several in proportion to their respective underwriting obligations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8.</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The obligations of the Underwriters hereunder may be terminated by the Representatives, in their absolute discretion by notice given to the Company prior to delivery of and payment for the Firm Stock if, prior to that time, any of the events described in Sections 6(i), 6(k) or 6(l) have occurred or if the Underwriters shall decline to purchase the Stock for any reason permitted under this Agreement. </w:t>
      </w:r>
    </w:p>
    <w:p>
      <w:pPr>
        <w:pStyle w:val="TextBody"/>
        <w:bidi w:val="0"/>
        <w:spacing w:before="240" w:after="0"/>
        <w:jc w:val="left"/>
        <w:rPr>
          <w:rFonts w:ascii="Times New Roman" w:hAnsi="Times New Roman"/>
          <w:sz w:val="20"/>
        </w:rPr>
      </w:pPr>
      <w:r>
        <w:rPr>
          <w:rFonts w:ascii="Times New Roman" w:hAnsi="Times New Roman"/>
          <w:i/>
          <w:sz w:val="20"/>
        </w:rPr>
        <w:t>9.</w:t>
      </w:r>
      <w:r>
        <w:rPr>
          <w:rFonts w:ascii="Times New Roman" w:hAnsi="Times New Roman"/>
          <w:sz w:val="20"/>
        </w:rPr>
        <w:t xml:space="preserve"> </w:t>
      </w:r>
      <w:r>
        <w:rPr>
          <w:rFonts w:ascii="Times New Roman" w:hAnsi="Times New Roman"/>
          <w:i/>
          <w:sz w:val="20"/>
        </w:rPr>
        <w:t>REIMBURSEMENT OF UNDERWRITERS</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Notwithstanding anything to the contrary in this Agreement, if (a) this Agreement shall have been terminated pursuant to Section 8 or 10, (b) the Company shall fail to tender the Stock for delivery to the Underwriters for any reason not permitted under this Agreement, (c) the Underwriters shall decline to purchase the Stock for any reason permitted under this Agreement or (d) the sale of the Stock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5, the Company shall reimburse the Underwriters for the reasonable and documented fees and expenses of Underwriters’ counsel and for such other out-of-pocket expenses as shall have been reasonably incurred by them in connection with this Agreement and the proposed purchase of the Stock, including, without limitation, travel and lodging expenses of the Underwriters, and upon demand the Company shall pay the full amount thereof to the Representatives; </w:t>
      </w:r>
      <w:r>
        <w:rPr>
          <w:rFonts w:ascii="Times New Roman" w:hAnsi="Times New Roman"/>
          <w:i/>
          <w:sz w:val="20"/>
        </w:rPr>
        <w:t>provided</w:t>
      </w:r>
      <w:r>
        <w:rPr>
          <w:rFonts w:ascii="Times New Roman" w:hAnsi="Times New Roman"/>
          <w:sz w:val="20"/>
        </w:rPr>
        <w:t xml:space="preserve"> that if this Agreement is terminated pursuant to Section 10 by reason of the default of one or more Underwriters, the Company shall not be obligated to reimburse any defaulting Underwriter on account of expenses to the extent incurred by such defaulting Underwriter, </w:t>
      </w:r>
      <w:r>
        <w:rPr>
          <w:rFonts w:ascii="Times New Roman" w:hAnsi="Times New Roman"/>
          <w:i/>
          <w:sz w:val="20"/>
        </w:rPr>
        <w:t>provided further</w:t>
      </w:r>
      <w:r>
        <w:rPr>
          <w:rFonts w:ascii="Times New Roman" w:hAnsi="Times New Roman"/>
          <w:sz w:val="20"/>
        </w:rPr>
        <w:t xml:space="preserve"> that the foregoing shall not limit any reimbursement obligation of the Company to any non-defaulting Underwriter under this Section 9. </w:t>
      </w:r>
    </w:p>
    <w:p>
      <w:pPr>
        <w:pStyle w:val="TextBody"/>
        <w:bidi w:val="0"/>
        <w:spacing w:before="240" w:after="0"/>
        <w:jc w:val="left"/>
        <w:rPr>
          <w:rFonts w:ascii="Times New Roman" w:hAnsi="Times New Roman"/>
          <w:sz w:val="20"/>
        </w:rPr>
      </w:pPr>
      <w:r>
        <w:rPr>
          <w:rFonts w:ascii="Times New Roman" w:hAnsi="Times New Roman"/>
          <w:i/>
          <w:sz w:val="20"/>
        </w:rPr>
        <w:t>10.</w:t>
      </w:r>
      <w:r>
        <w:rPr>
          <w:rFonts w:ascii="Times New Roman" w:hAnsi="Times New Roman"/>
          <w:sz w:val="20"/>
        </w:rPr>
        <w:t xml:space="preserve"> </w:t>
      </w:r>
      <w:r>
        <w:rPr>
          <w:rFonts w:ascii="Times New Roman" w:hAnsi="Times New Roman"/>
          <w:i/>
          <w:sz w:val="20"/>
        </w:rPr>
        <w:t>SUBSTITUTION OF UNDERWRITERS</w:t>
      </w:r>
      <w:r>
        <w:rPr>
          <w:rFonts w:ascii="Times New Roman" w:hAnsi="Times New Roman"/>
          <w:sz w:val="20"/>
        </w:rPr>
        <w:t xml:space="preserve">. If any Underwriter or Underwriters shall default in its or their obligations to purchase shares of Stock hereunder on any Closing Date and the aggregate number of shares which such defaulting Underwriter or Underwriters agreed but failed to purchase does not exceed ten percent (10%) of the total number of shares to be purchased by all Underwriters on such Closing Date, the other Underwriters shall be obligated severally, in proportion to their respective commitments hereunder, to purchase the shares which such defaulting Underwriter or Underwriters agreed but failed to purchase on such Closing Date. If any Underwriter or Underwriters shall so default and the aggregate number of shares with respect to which such default or defaults occur is more than ten percent (10%) of the total number of shares to be purchased by all Underwriters on such Closing Date and arrangements satisfactory to the Representatives and the Company for the purchase of such shares by other persons are not made within forty-eight (48) hours after such default, this Agreement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If the remaining Underwriters or substituted Underwriters are required hereby or agree to take up all or part of the shares of Stock of a defaulting Underwriter or Underwriters on such Closing Date as provided in this Section 10, (i) the Company shall have the right to postpone such Closing Date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10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5 and 9 and the provisions of Section 7 and Sections 11 through 21, inclusive, shall not terminate and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11.</w:t>
      </w:r>
      <w:r>
        <w:rPr>
          <w:rFonts w:ascii="Times New Roman" w:hAnsi="Times New Roman"/>
          <w:sz w:val="20"/>
        </w:rPr>
        <w:t xml:space="preserve"> </w:t>
      </w:r>
      <w:r>
        <w:rPr>
          <w:rFonts w:ascii="Times New Roman" w:hAnsi="Times New Roman"/>
          <w:i/>
          <w:sz w:val="20"/>
        </w:rPr>
        <w:t xml:space="preserve">ABSENCE OF FIDUCIARY RELATIONSHIP. </w:t>
      </w:r>
      <w:r>
        <w:rPr>
          <w:rFonts w:ascii="Times New Roman" w:hAnsi="Times New Roman"/>
          <w:sz w:val="20"/>
        </w:rPr>
        <w:t xml:space="preserve">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each Underwriter’s responsibility to the Company is solely contractual in nature, the Representatives have been retained solely to act as underwriters in connection with the sale of the Stock and no fiduciary, advisory or agency relationship between the Company and the Representatives has been created in respect of any of the transactions contemplated by this Agreement, irrespective of whether any of the Representatives has advised or is advising the Company on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(b) the price of the Stock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 </w:t>
      </w:r>
    </w:p>
    <w:p>
      <w:pPr>
        <w:pStyle w:val="TextBody"/>
        <w:bidi w:val="0"/>
        <w:spacing w:before="120" w:after="0"/>
        <w:jc w:val="left"/>
        <w:rPr>
          <w:rFonts w:ascii="Times New Roman" w:hAnsi="Times New Roman"/>
          <w:sz w:val="20"/>
        </w:rPr>
      </w:pPr>
      <w:r>
        <w:rPr>
          <w:rFonts w:ascii="Times New Roman" w:hAnsi="Times New Roman"/>
          <w:sz w:val="20"/>
        </w:rPr>
        <w:t xml:space="preserve">(d) 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 </w:t>
      </w:r>
    </w:p>
    <w:p>
      <w:pPr>
        <w:pStyle w:val="TextBody"/>
        <w:bidi w:val="0"/>
        <w:spacing w:before="240" w:after="0"/>
        <w:jc w:val="left"/>
        <w:rPr>
          <w:rFonts w:ascii="Times New Roman" w:hAnsi="Times New Roman"/>
          <w:sz w:val="20"/>
        </w:rPr>
      </w:pPr>
      <w:r>
        <w:rPr>
          <w:rFonts w:ascii="Times New Roman" w:hAnsi="Times New Roman"/>
          <w:i/>
          <w:sz w:val="20"/>
        </w:rPr>
        <w:t>12.</w:t>
      </w:r>
      <w:r>
        <w:rPr>
          <w:rFonts w:ascii="Times New Roman" w:hAnsi="Times New Roman"/>
          <w:sz w:val="20"/>
        </w:rPr>
        <w:t xml:space="preserve"> </w:t>
      </w:r>
      <w:r>
        <w:rPr>
          <w:rFonts w:ascii="Times New Roman" w:hAnsi="Times New Roman"/>
          <w:i/>
          <w:sz w:val="20"/>
        </w:rPr>
        <w:t>SUCCESSORS; PERSONS ENTITLED TO BENEFIT OF AGREEMENT</w:t>
      </w:r>
      <w:r>
        <w:rPr>
          <w:rFonts w:ascii="Times New Roman" w:hAnsi="Times New Roman"/>
          <w:sz w:val="20"/>
        </w:rPr>
        <w:t xml:space="preserve">. This Agreement shall inure to the benefit of and be binding upon the several Underwriters, 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Stock from any Underwriter shall be deemed to be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i/>
          <w:sz w:val="20"/>
        </w:rPr>
        <w:t>13.</w:t>
      </w:r>
      <w:r>
        <w:rPr>
          <w:rFonts w:ascii="Times New Roman" w:hAnsi="Times New Roman"/>
          <w:sz w:val="20"/>
        </w:rPr>
        <w:t xml:space="preserve"> </w:t>
      </w:r>
      <w:r>
        <w:rPr>
          <w:rFonts w:ascii="Times New Roman" w:hAnsi="Times New Roman"/>
          <w:i/>
          <w:sz w:val="20"/>
        </w:rPr>
        <w:t xml:space="preserve">SURVIVAL OF INDEMNITIES, REPRESENTATIONS, WARRANTIES, ETC. </w:t>
      </w:r>
      <w:r>
        <w:rPr>
          <w:rFonts w:ascii="Times New Roman" w:hAnsi="Times New Roman"/>
          <w:sz w:val="20"/>
        </w:rPr>
        <w:t xml:space="preserve">The respective indemnities, covenants, agreements, representations, warranties 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Stock. Notwithstanding any termination of this Agreement, including without limitation any termination pursuant to Section 8 or Section 10, the indemnities, covenants, agreements, representations, warranties and other statements set forth in Sections 2, 5, 7 and 9 and Sections 11 through 21, inclusive, of this Agreement shall not terminate and shall remain in full force and effect at all times. </w:t>
      </w:r>
    </w:p>
    <w:p>
      <w:pPr>
        <w:pStyle w:val="TextBody"/>
        <w:bidi w:val="0"/>
        <w:spacing w:before="240" w:after="0"/>
        <w:jc w:val="left"/>
        <w:rPr>
          <w:rFonts w:ascii="Times New Roman" w:hAnsi="Times New Roman"/>
          <w:i/>
          <w:sz w:val="20"/>
        </w:rPr>
      </w:pPr>
      <w:r>
        <w:rPr>
          <w:rFonts w:ascii="Times New Roman" w:hAnsi="Times New Roman"/>
          <w:i/>
          <w:sz w:val="20"/>
        </w:rPr>
        <w:t xml:space="preserve">14. RECOGNITION OF THE U.S. SPECIAL RESOLUTION REGIMES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i/>
          <w:sz w:val="20"/>
        </w:rPr>
        <w:t>15.</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All statements, requests, notices and agreements hereunder shall be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(a) if to the Underwriters, shall be delivered or sent by mail or email to (i) TD Securities (USA) LLC, 1 Vanderbilt Avenue, New York, New York 10017, Attention: Head of Equity Capital Markets, with a copy to CIBLegal@tdsecurities.com; and (ii) William Blair &amp; Company, L.L.C., 150 North Riverside Plaza, Chicago, IL 60606, Attention: General Counsel, Facsimile: (312) 551-4646;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shall be delivered or sent by mail or email to Alpha Teknova, Inc. Attention: General Counsel, email damon.terrill@teknova.com;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any notice to an Underwriter pursuant to Section 7 shall be delivered or sent by mail to such Underwriter at its address set forth in its acceptance email to the Representatives, which address will be supplied to any other party hereto by the Representatives upon request. Any such statements, requests, notices or agreements shall take effect at the time of receipt thereof. </w:t>
      </w:r>
    </w:p>
    <w:p>
      <w:pPr>
        <w:pStyle w:val="TextBody"/>
        <w:bidi w:val="0"/>
        <w:spacing w:before="240" w:after="0"/>
        <w:jc w:val="left"/>
        <w:rPr>
          <w:rFonts w:ascii="Times New Roman" w:hAnsi="Times New Roman"/>
          <w:sz w:val="20"/>
        </w:rPr>
      </w:pPr>
      <w:r>
        <w:rPr>
          <w:rFonts w:ascii="Times New Roman" w:hAnsi="Times New Roman"/>
          <w:i/>
          <w:sz w:val="20"/>
        </w:rPr>
        <w:t>16.</w:t>
      </w:r>
      <w:r>
        <w:rPr>
          <w:rFonts w:ascii="Times New Roman" w:hAnsi="Times New Roman"/>
          <w:sz w:val="20"/>
        </w:rPr>
        <w:t xml:space="preserve"> </w:t>
      </w:r>
      <w:r>
        <w:rPr>
          <w:rFonts w:ascii="Times New Roman" w:hAnsi="Times New Roman"/>
          <w:i/>
          <w:sz w:val="20"/>
        </w:rPr>
        <w:t>DEFINITION OF CERTAIN TERMS</w:t>
      </w:r>
      <w:r>
        <w:rPr>
          <w:rFonts w:ascii="Times New Roman" w:hAnsi="Times New Roman"/>
          <w:sz w:val="20"/>
        </w:rPr>
        <w:t>. For purposes of this Agreement, (a) “</w:t>
      </w:r>
      <w:r>
        <w:rPr>
          <w:rFonts w:ascii="Times New Roman" w:hAnsi="Times New Roman"/>
          <w:b/>
          <w:i/>
          <w:sz w:val="20"/>
        </w:rPr>
        <w:t>affiliate</w:t>
      </w:r>
      <w:r>
        <w:rPr>
          <w:rFonts w:ascii="Times New Roman" w:hAnsi="Times New Roman"/>
          <w:sz w:val="20"/>
        </w:rPr>
        <w:t>” has the meaning set forth in Rule 405 under the Securities Act, (b) “</w:t>
      </w:r>
      <w:r>
        <w:rPr>
          <w:rFonts w:ascii="Times New Roman" w:hAnsi="Times New Roman"/>
          <w:b/>
          <w:i/>
          <w:sz w:val="20"/>
        </w:rPr>
        <w:t>business day</w:t>
      </w:r>
      <w:r>
        <w:rPr>
          <w:rFonts w:ascii="Times New Roman" w:hAnsi="Times New Roman"/>
          <w:sz w:val="20"/>
        </w:rPr>
        <w:t>” means any day on which the New York Stock Exchange, Inc. is open for trading (c) “</w:t>
      </w:r>
      <w:r>
        <w:rPr>
          <w:rFonts w:ascii="Times New Roman" w:hAnsi="Times New Roman"/>
          <w:b/>
          <w:i/>
          <w:sz w:val="20"/>
        </w:rPr>
        <w:t>subsidiary</w:t>
      </w:r>
      <w:r>
        <w:rPr>
          <w:rFonts w:ascii="Times New Roman" w:hAnsi="Times New Roman"/>
          <w:sz w:val="20"/>
        </w:rPr>
        <w:t>” has the meaning set forth in Rule 405 of the Rules and Regulations, (d) “</w:t>
      </w:r>
      <w:r>
        <w:rPr>
          <w:rFonts w:ascii="Times New Roman" w:hAnsi="Times New Roman"/>
          <w:b/>
          <w:i/>
          <w:sz w:val="20"/>
        </w:rPr>
        <w:t>BHC Act Affiliate</w:t>
      </w:r>
      <w:r>
        <w:rPr>
          <w:rFonts w:ascii="Times New Roman" w:hAnsi="Times New Roman"/>
          <w:sz w:val="20"/>
        </w:rPr>
        <w:t>” has the meaning assigned to the term “affiliate” in, and shall be interpreted in accordance with, 12 U.S.C. § 1841(k), (e) “</w:t>
      </w:r>
      <w:r>
        <w:rPr>
          <w:rFonts w:ascii="Times New Roman" w:hAnsi="Times New Roman"/>
          <w:b/>
          <w:i/>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(f) “</w:t>
      </w:r>
      <w:r>
        <w:rPr>
          <w:rFonts w:ascii="Times New Roman" w:hAnsi="Times New Roman"/>
          <w:b/>
          <w:i/>
          <w:sz w:val="20"/>
        </w:rPr>
        <w:t>Default Right</w:t>
      </w:r>
      <w:r>
        <w:rPr>
          <w:rFonts w:ascii="Times New Roman" w:hAnsi="Times New Roman"/>
          <w:sz w:val="20"/>
        </w:rPr>
        <w:t>” has the meaning assigned to that term in, and shall be interpreted in accordance with, 12 C.F.R. §§ 252.81, 47.2 or 382.1, as applicable, (g) “</w:t>
      </w:r>
      <w:r>
        <w:rPr>
          <w:rFonts w:ascii="Times New Roman" w:hAnsi="Times New Roman"/>
          <w:b/>
          <w:i/>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i/>
          <w:sz w:val="20"/>
        </w:rPr>
        <w:t>17.</w:t>
      </w:r>
      <w:r>
        <w:rPr>
          <w:rFonts w:ascii="Times New Roman" w:hAnsi="Times New Roman"/>
          <w:sz w:val="20"/>
        </w:rPr>
        <w:t xml:space="preserve"> </w:t>
      </w:r>
      <w:r>
        <w:rPr>
          <w:rFonts w:ascii="Times New Roman" w:hAnsi="Times New Roman"/>
          <w:i/>
          <w:sz w:val="20"/>
        </w:rPr>
        <w:t>GOVERNING LAW, JURISDICTION, WAIVER OF JURY TRIAL.</w:t>
      </w:r>
      <w:r>
        <w:rPr>
          <w:rFonts w:ascii="Times New Roman" w:hAnsi="Times New Roman"/>
          <w:sz w:val="20"/>
        </w:rPr>
        <w:t xml:space="preserve"> This Agreement shall be governed by and construed in accordance with the laws of the State of New York, including without limitation Section 5-1401 of the New York General Obligations. The Company irrevocably (a) submits to the exclusive jurisdiction of the Federal and state courts in the Borough of Manhattan in The City of New York for the purpose of any suit, action or other proceeding arising out of this Agreement or the transactions contemplated by this Agreement, the Registration Statement and any Preliminary Prospectus or the Prospectus, (b) agrees that all claims in respect of any such suit, action or proceeding may be heard and determined by any such court, (c) waives to the fullest extent permitted by applicable law, any immunity from the jurisdiction of any such court or from any legal process, (d) agrees not to commence any such suit, action or proceeding other than in such courts, and (e) waives, to the fullest extent permitted by applicable law, any claim that any such suit, action or proceeding is brought in an inconvenient forum. </w:t>
      </w:r>
      <w:r>
        <w:rPr>
          <w:rFonts w:ascii="Times New Roman" w:hAnsi="Times New Roman"/>
          <w:b/>
          <w:sz w:val="20"/>
        </w:rPr>
        <w:t>Each of the parties to this Agreement hereby waives any right to trial by jury in any suit or proceeding arising out of or relating to this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18.</w:t>
      </w:r>
      <w:r>
        <w:rPr>
          <w:rFonts w:ascii="Times New Roman" w:hAnsi="Times New Roman"/>
          <w:sz w:val="20"/>
        </w:rPr>
        <w:t xml:space="preserve"> </w:t>
      </w:r>
      <w:r>
        <w:rPr>
          <w:rFonts w:ascii="Times New Roman" w:hAnsi="Times New Roman"/>
          <w:i/>
          <w:sz w:val="20"/>
        </w:rPr>
        <w:t>UNDERWRITERS’ INFORMATION.</w:t>
      </w:r>
      <w:r>
        <w:rPr>
          <w:rFonts w:ascii="Times New Roman" w:hAnsi="Times New Roman"/>
          <w:sz w:val="20"/>
        </w:rPr>
        <w:t xml:space="preserve"> The parties hereto acknowledge and agree that, for all purposes of this Agreement, the Underwriters’ Information consists solely of the following information in the Prospectus: the statements concerning the Underwriters contained in the second sentence of the eighth paragraph, ninth paragraph and first sentence of the eleventh paragraph under the heading “Underwriting.” </w:t>
      </w:r>
    </w:p>
    <w:p>
      <w:pPr>
        <w:pStyle w:val="TextBody"/>
        <w:bidi w:val="0"/>
        <w:spacing w:before="240" w:after="0"/>
        <w:jc w:val="left"/>
        <w:rPr>
          <w:rFonts w:ascii="Times New Roman" w:hAnsi="Times New Roman"/>
          <w:sz w:val="20"/>
        </w:rPr>
      </w:pPr>
      <w:r>
        <w:rPr>
          <w:rFonts w:ascii="Times New Roman" w:hAnsi="Times New Roman"/>
          <w:i/>
          <w:sz w:val="20"/>
        </w:rPr>
        <w:t>19.</w:t>
      </w:r>
      <w:r>
        <w:rPr>
          <w:rFonts w:ascii="Times New Roman" w:hAnsi="Times New Roman"/>
          <w:sz w:val="20"/>
        </w:rPr>
        <w:t xml:space="preserve"> </w:t>
      </w:r>
      <w:r>
        <w:rPr>
          <w:rFonts w:ascii="Times New Roman" w:hAnsi="Times New Roman"/>
          <w:i/>
          <w:sz w:val="20"/>
        </w:rPr>
        <w:t>AUTHORITY OF THE REPRESENTATIVES</w:t>
      </w:r>
      <w:r>
        <w:rPr>
          <w:rFonts w:ascii="Times New Roman" w:hAnsi="Times New Roman"/>
          <w:sz w:val="20"/>
        </w:rPr>
        <w:t xml:space="preserve">. In connection with this Agreement, the Representatives will act for and on behalf of the several Underwriters, and any action taken under this Agreement by the Representatives, will be binding on all the Underwriters. </w:t>
      </w:r>
    </w:p>
    <w:p>
      <w:pPr>
        <w:pStyle w:val="TextBody"/>
        <w:bidi w:val="0"/>
        <w:spacing w:before="240" w:after="0"/>
        <w:jc w:val="left"/>
        <w:rPr>
          <w:rFonts w:ascii="Times New Roman" w:hAnsi="Times New Roman"/>
          <w:sz w:val="20"/>
        </w:rPr>
      </w:pPr>
      <w:r>
        <w:rPr>
          <w:rFonts w:ascii="Times New Roman" w:hAnsi="Times New Roman"/>
          <w:i/>
          <w:sz w:val="20"/>
        </w:rPr>
        <w:t>20.</w:t>
      </w:r>
      <w:r>
        <w:rPr>
          <w:rFonts w:ascii="Times New Roman" w:hAnsi="Times New Roman"/>
          <w:sz w:val="20"/>
        </w:rPr>
        <w:t xml:space="preserve"> </w:t>
      </w:r>
      <w:r>
        <w:rPr>
          <w:rFonts w:ascii="Times New Roman" w:hAnsi="Times New Roman"/>
          <w:i/>
          <w:sz w:val="20"/>
        </w:rPr>
        <w:t>PARTIAL UNENFORCEABILITY</w:t>
      </w:r>
      <w:r>
        <w:rPr>
          <w:rFonts w:ascii="Times New Roman" w:hAnsi="Times New Roman"/>
          <w:sz w:val="20"/>
        </w:rPr>
        <w:t xml:space="preserve">. The invalidity or unenforceability of any section, paragraph, clause or provision of this Agreement shall not affect 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i/>
          <w:sz w:val="20"/>
        </w:rPr>
        <w:t>21.</w:t>
      </w:r>
      <w:r>
        <w:rPr>
          <w:rFonts w:ascii="Times New Roman" w:hAnsi="Times New Roman"/>
          <w:sz w:val="20"/>
        </w:rPr>
        <w:t xml:space="preserve"> </w:t>
      </w:r>
      <w:r>
        <w:rPr>
          <w:rFonts w:ascii="Times New Roman" w:hAnsi="Times New Roman"/>
          <w:i/>
          <w:sz w:val="20"/>
        </w:rPr>
        <w:t>GENERAL</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 </w:t>
      </w:r>
    </w:p>
    <w:p>
      <w:pPr>
        <w:pStyle w:val="TextBody"/>
        <w:bidi w:val="0"/>
        <w:spacing w:before="240" w:after="0"/>
        <w:jc w:val="left"/>
        <w:rPr>
          <w:rFonts w:ascii="Times New Roman" w:hAnsi="Times New Roman"/>
          <w:sz w:val="20"/>
        </w:rPr>
      </w:pPr>
      <w:r>
        <w:rPr>
          <w:rFonts w:ascii="Times New Roman" w:hAnsi="Times New Roman"/>
          <w:i/>
          <w:sz w:val="20"/>
        </w:rPr>
        <w:t>22.</w:t>
      </w:r>
      <w:r>
        <w:rPr>
          <w:rFonts w:ascii="Times New Roman" w:hAnsi="Times New Roman"/>
          <w:sz w:val="20"/>
        </w:rPr>
        <w:t xml:space="preserve"> </w:t>
      </w:r>
      <w:r>
        <w:rPr>
          <w:rFonts w:ascii="Times New Roman" w:hAnsi="Times New Roman"/>
          <w:i/>
          <w:sz w:val="20"/>
        </w:rPr>
        <w:t>COUNTERPARTS</w:t>
      </w:r>
      <w:r>
        <w:rPr>
          <w:rFonts w:ascii="Times New Roman" w:hAnsi="Times New Roman"/>
          <w:sz w:val="20"/>
        </w:rPr>
        <w:t xml:space="preserve">. This Agreement may be signed in any number of counterparts, each of which shall be an original, with the same effect as if the signatures thereto and hereto were upon the same instrument. Counterparts to this Agreement may be delivered via facsimile, electronic mail (including pdf or any electronic signature complying with the U.S. federal ESIGN Act of 2000, Uniform Electronic Transactions Act, the Electronic Signatures and Records Act or other applicable law, e.g., www.docusign.com or www.echosign.com)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for that purpose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ALPHA TEKNOVA,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Gunstream</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Stephen Gunstream</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Accepted as of</w:t>
            </w:r>
          </w:p>
        </w:tc>
      </w:tr>
      <w:tr>
        <w:trPr/>
        <w:tc>
          <w:tcPr>
            <w:tcW w:w="10205" w:type="dxa"/>
            <w:tcBorders/>
          </w:tcPr>
          <w:p>
            <w:pPr>
              <w:pStyle w:val="TableContents"/>
              <w:bidi w:val="0"/>
              <w:spacing w:before="0" w:after="283"/>
              <w:jc w:val="left"/>
              <w:rPr/>
            </w:pPr>
            <w:r>
              <w:rPr/>
              <w:t>the date first above written:</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TD S</w:t>
            </w:r>
            <w:r>
              <w:rPr>
                <w:sz w:val="20"/>
              </w:rPr>
              <w:t>ECURITIES</w:t>
            </w:r>
            <w:r>
              <w:rPr/>
              <w:t xml:space="preserve"> (USA) LLC</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W</w:t>
            </w:r>
            <w:r>
              <w:rPr>
                <w:sz w:val="20"/>
              </w:rPr>
              <w:t>ILLIAM</w:t>
            </w:r>
            <w:r>
              <w:rPr/>
              <w:t xml:space="preserve"> B</w:t>
            </w:r>
            <w:r>
              <w:rPr>
                <w:sz w:val="20"/>
              </w:rPr>
              <w:t>LAIR</w:t>
            </w:r>
            <w:r>
              <w:rPr/>
              <w:t> &amp; C</w:t>
            </w:r>
            <w:r>
              <w:rPr>
                <w:sz w:val="20"/>
              </w:rPr>
              <w:t>OMPANY</w:t>
            </w:r>
            <w:r>
              <w:rPr/>
              <w:t>, L.L.C.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Acting on their own behalf</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and as Representatives of several</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Underwriters listed on </w:t>
            </w:r>
            <w:r>
              <w:rPr>
                <w:rFonts w:ascii="Times New Roman" w:hAnsi="Times New Roman"/>
                <w:sz w:val="20"/>
                <w:u w:val="single"/>
              </w:rPr>
              <w:t>Schedule A</w:t>
            </w:r>
            <w:r>
              <w:rPr>
                <w:rFonts w:ascii="Times New Roman" w:hAnsi="Times New Roman"/>
                <w:sz w:val="20"/>
              </w:rPr>
              <w:t xml:space="preserve"> to this</w:t>
            </w:r>
          </w:p>
          <w:p>
            <w:pPr>
              <w:pStyle w:val="TableContents"/>
              <w:bidi w:val="0"/>
              <w:spacing w:before="0" w:after="20"/>
              <w:jc w:val="left"/>
              <w:rPr>
                <w:rFonts w:ascii="Times New Roman" w:hAnsi="Times New Roman"/>
                <w:sz w:val="20"/>
              </w:rPr>
            </w:pPr>
            <w:r>
              <w:rPr>
                <w:rFonts w:ascii="Times New Roman" w:hAnsi="Times New Roman"/>
                <w:sz w:val="20"/>
              </w:rPr>
              <w:t>Agreement.</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By: TD S</w:t>
            </w:r>
            <w:r>
              <w:rPr>
                <w:sz w:val="20"/>
              </w:rPr>
              <w:t>ECURITIES</w:t>
            </w:r>
            <w:r>
              <w:rPr/>
              <w:t xml:space="preserve"> (USA) LLC</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Callas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Peter Callas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w:t>
            </w:r>
            <w:r>
              <w:rPr>
                <w:sz w:val="20"/>
              </w:rPr>
              <w:t>ILLIAM</w:t>
            </w:r>
            <w:r>
              <w:rPr/>
              <w:t xml:space="preserve"> B</w:t>
            </w:r>
            <w:r>
              <w:rPr>
                <w:sz w:val="20"/>
              </w:rPr>
              <w:t>LAIR</w:t>
            </w:r>
            <w:r>
              <w:rPr/>
              <w:t> &amp; C</w:t>
            </w:r>
            <w:r>
              <w:rPr>
                <w:sz w:val="20"/>
              </w:rPr>
              <w:t>OMPANY</w:t>
            </w:r>
            <w:r>
              <w:rPr/>
              <w:t>,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Rakhee Bhagat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Rakhee Bhagat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left"/>
        <w:rPr/>
      </w:pPr>
      <w:bookmarkStart w:id="4" w:name="d170994dex51.htm"/>
      <w:bookmarkStart w:id="5" w:name="ksd170994dex51"/>
      <w:bookmarkEnd w:id="4"/>
      <w:bookmarkEnd w:id="5"/>
      <w:r>
        <w:rPr/>
        <w:drawing>
          <wp:inline distT="0" distB="0" distL="0" distR="0">
            <wp:extent cx="18573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666750"/>
                    </a:xfrm>
                    <a:prstGeom prst="rect">
                      <a:avLst/>
                    </a:prstGeom>
                  </pic:spPr>
                </pic:pic>
              </a:graphicData>
            </a:graphic>
          </wp:inline>
        </w:drawing>
      </w:r>
      <w:r>
        <w:rPr/>
        <w:t xml:space="preserve"> </w:t>
      </w:r>
      <w:r>
        <w:br w:type="page"/>
      </w:r>
    </w:p>
    <w:p>
      <w:pPr>
        <w:pStyle w:val="TextBody"/>
        <w:bidi w:val="0"/>
        <w:spacing w:before="240" w:after="0"/>
        <w:jc w:val="right"/>
        <w:rPr>
          <w:rFonts w:ascii="Times New Roman" w:hAnsi="Times New Roman"/>
          <w:b/>
          <w:sz w:val="20"/>
        </w:rPr>
      </w:pPr>
      <w:r>
        <w:rPr>
          <w:rFonts w:ascii="Times New Roman" w:hAnsi="Times New Roman"/>
          <w:b/>
          <w:sz w:val="20"/>
        </w:rPr>
        <w:t>Exhibit 5.1</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9"/>
        <w:gridCol w:w="120"/>
        <w:gridCol w:w="4946"/>
      </w:tblGrid>
      <w:tr>
        <w:trPr/>
        <w:tc>
          <w:tcPr>
            <w:tcW w:w="51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6" w:type="dxa"/>
            <w:tcBorders/>
            <w:vAlign w:val="center"/>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283"/>
              <w:jc w:val="left"/>
              <w:rPr/>
            </w:pPr>
            <w:r>
              <w:rPr/>
              <w:t>October 21, 2026</w:t>
            </w:r>
          </w:p>
        </w:tc>
        <w:tc>
          <w:tcPr>
            <w:tcW w:w="120"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283"/>
              <w:jc w:val="right"/>
              <w:rPr/>
            </w:pPr>
            <w:r>
              <w:rPr/>
              <w:t>47198.00011</w:t>
            </w:r>
          </w:p>
        </w:tc>
      </w:tr>
    </w:tbl>
    <w:p>
      <w:pPr>
        <w:pStyle w:val="TextBody"/>
        <w:bidi w:val="0"/>
        <w:spacing w:before="240" w:after="0"/>
        <w:jc w:val="left"/>
        <w:rPr>
          <w:rFonts w:ascii="Times New Roman" w:hAnsi="Times New Roman"/>
          <w:sz w:val="20"/>
        </w:rPr>
      </w:pPr>
      <w:r>
        <w:rPr>
          <w:rFonts w:ascii="Times New Roman" w:hAnsi="Times New Roman"/>
          <w:sz w:val="20"/>
        </w:rPr>
        <w:t xml:space="preserve">Alpha Teknova, Inc. </w:t>
      </w:r>
    </w:p>
    <w:p>
      <w:pPr>
        <w:pStyle w:val="TextBody"/>
        <w:bidi w:val="0"/>
        <w:spacing w:before="0" w:after="0"/>
        <w:jc w:val="left"/>
        <w:rPr>
          <w:rFonts w:ascii="Times New Roman" w:hAnsi="Times New Roman"/>
          <w:sz w:val="20"/>
        </w:rPr>
      </w:pPr>
      <w:r>
        <w:rPr>
          <w:rFonts w:ascii="Times New Roman" w:hAnsi="Times New Roman"/>
          <w:sz w:val="20"/>
        </w:rPr>
        <w:t xml:space="preserve">2451 Bert Drive </w:t>
      </w:r>
    </w:p>
    <w:p>
      <w:pPr>
        <w:pStyle w:val="TextBody"/>
        <w:bidi w:val="0"/>
        <w:spacing w:before="0" w:after="0"/>
        <w:jc w:val="left"/>
        <w:rPr>
          <w:rFonts w:ascii="Times New Roman" w:hAnsi="Times New Roman"/>
          <w:sz w:val="20"/>
        </w:rPr>
      </w:pPr>
      <w:r>
        <w:rPr>
          <w:rFonts w:ascii="Times New Roman" w:hAnsi="Times New Roman"/>
          <w:sz w:val="20"/>
        </w:rPr>
        <w:t xml:space="preserve">Hollister, CA 95023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Alpha Teknova, Inc., a Delaware corporation (the “</w:t>
      </w:r>
      <w:r>
        <w:rPr>
          <w:rFonts w:ascii="Times New Roman" w:hAnsi="Times New Roman"/>
          <w:b/>
          <w:i/>
          <w:sz w:val="20"/>
        </w:rPr>
        <w:t>Company</w:t>
      </w:r>
      <w:r>
        <w:rPr>
          <w:rFonts w:ascii="Times New Roman" w:hAnsi="Times New Roman"/>
          <w:sz w:val="20"/>
        </w:rPr>
        <w:t>”), in connection with the preparation and filing with the Securities and Exchange Commission (the “</w:t>
      </w:r>
      <w:r>
        <w:rPr>
          <w:rFonts w:ascii="Times New Roman" w:hAnsi="Times New Roman"/>
          <w:b/>
          <w:i/>
          <w:sz w:val="20"/>
        </w:rPr>
        <w:t>Commission</w:t>
      </w:r>
      <w:r>
        <w:rPr>
          <w:rFonts w:ascii="Times New Roman" w:hAnsi="Times New Roman"/>
          <w:sz w:val="20"/>
        </w:rPr>
        <w:t>”) pursuant to Rule 424(b) of the rules and regulations of the Securities Act of 1933, as amended (the “</w:t>
      </w:r>
      <w:r>
        <w:rPr>
          <w:rFonts w:ascii="Times New Roman" w:hAnsi="Times New Roman"/>
          <w:b/>
          <w:i/>
          <w:sz w:val="20"/>
        </w:rPr>
        <w:t>Act</w:t>
      </w:r>
      <w:r>
        <w:rPr>
          <w:rFonts w:ascii="Times New Roman" w:hAnsi="Times New Roman"/>
          <w:sz w:val="20"/>
        </w:rPr>
        <w:t>”), of a prospectus supplement, dated October 21, 2026 (the “</w:t>
      </w:r>
      <w:r>
        <w:rPr>
          <w:rFonts w:ascii="Times New Roman" w:hAnsi="Times New Roman"/>
          <w:b/>
          <w:i/>
          <w:sz w:val="20"/>
        </w:rPr>
        <w:t>Prospectus Supplement</w:t>
      </w:r>
      <w:r>
        <w:rPr>
          <w:rFonts w:ascii="Times New Roman" w:hAnsi="Times New Roman"/>
          <w:sz w:val="20"/>
        </w:rPr>
        <w:t>”), to the Company’s Registration Statement on Form S-3 (File No. 333-288613) filed with the Commission under the Act on July 10, 2025 (the “</w:t>
      </w:r>
      <w:r>
        <w:rPr>
          <w:rFonts w:ascii="Times New Roman" w:hAnsi="Times New Roman"/>
          <w:b/>
          <w:i/>
          <w:sz w:val="20"/>
        </w:rPr>
        <w:t>Registration Statement</w:t>
      </w:r>
      <w:r>
        <w:rPr>
          <w:rFonts w:ascii="Times New Roman" w:hAnsi="Times New Roman"/>
          <w:sz w:val="20"/>
        </w:rPr>
        <w:t>”), and the related prospectus, dated July 16, 2025, included in the Registration Statement at the time it originally became effective (the “</w:t>
      </w:r>
      <w:r>
        <w:rPr>
          <w:rFonts w:ascii="Times New Roman" w:hAnsi="Times New Roman"/>
          <w:b/>
          <w:i/>
          <w:sz w:val="20"/>
        </w:rPr>
        <w:t>Base Prospectus</w:t>
      </w:r>
      <w:r>
        <w:rPr>
          <w:rFonts w:ascii="Times New Roman" w:hAnsi="Times New Roman"/>
          <w:sz w:val="20"/>
        </w:rPr>
        <w:t>” and, together with the Prospectus Supplement, the “</w:t>
      </w:r>
      <w:r>
        <w:rPr>
          <w:rFonts w:ascii="Times New Roman" w:hAnsi="Times New Roman"/>
          <w:b/>
          <w:i/>
          <w:sz w:val="20"/>
        </w:rPr>
        <w:t>Prospectus</w:t>
      </w:r>
      <w:r>
        <w:rPr>
          <w:rFonts w:ascii="Times New Roman" w:hAnsi="Times New Roman"/>
          <w:sz w:val="20"/>
        </w:rPr>
        <w:t>”), relating to the offering by the Company of (i) 8,000,000 shares (the “</w:t>
      </w:r>
      <w:r>
        <w:rPr>
          <w:rFonts w:ascii="Times New Roman" w:hAnsi="Times New Roman"/>
          <w:b/>
          <w:i/>
          <w:sz w:val="20"/>
        </w:rPr>
        <w:t>Firm Shares</w:t>
      </w:r>
      <w:r>
        <w:rPr>
          <w:rFonts w:ascii="Times New Roman" w:hAnsi="Times New Roman"/>
          <w:sz w:val="20"/>
        </w:rPr>
        <w:t>”) of the Company’s common stock, par value $0.00001 per share (the “</w:t>
      </w:r>
      <w:r>
        <w:rPr>
          <w:rFonts w:ascii="Times New Roman" w:hAnsi="Times New Roman"/>
          <w:b/>
          <w:i/>
          <w:sz w:val="20"/>
        </w:rPr>
        <w:t>Common Stock</w:t>
      </w:r>
      <w:r>
        <w:rPr>
          <w:rFonts w:ascii="Times New Roman" w:hAnsi="Times New Roman"/>
          <w:sz w:val="20"/>
        </w:rPr>
        <w:t>”) and (ii) up to 1,200,000 shares of Common Stock that may be sold pursuant to the exercise of an option to purchase additional shares (the “</w:t>
      </w:r>
      <w:r>
        <w:rPr>
          <w:rFonts w:ascii="Times New Roman" w:hAnsi="Times New Roman"/>
          <w:b/>
          <w:i/>
          <w:sz w:val="20"/>
        </w:rPr>
        <w:t>Option Shares</w:t>
      </w:r>
      <w:r>
        <w:rPr>
          <w:rFonts w:ascii="Times New Roman" w:hAnsi="Times New Roman"/>
          <w:sz w:val="20"/>
        </w:rPr>
        <w:t>” and, together with the Firm Shares, the “</w:t>
      </w:r>
      <w:r>
        <w:rPr>
          <w:rFonts w:ascii="Times New Roman" w:hAnsi="Times New Roman"/>
          <w:b/>
          <w:i/>
          <w:sz w:val="20"/>
        </w:rPr>
        <w:t>Shares</w:t>
      </w:r>
      <w:r>
        <w:rPr>
          <w:rFonts w:ascii="Times New Roman" w:hAnsi="Times New Roman"/>
          <w:sz w:val="20"/>
        </w:rPr>
        <w:t>”) granted to the Underwriters (as defined below). The Shares are being sold to the Underwriters pursuant to an underwriting agreement, dated October 20, 2026 (the “</w:t>
      </w:r>
      <w:r>
        <w:rPr>
          <w:rFonts w:ascii="Times New Roman" w:hAnsi="Times New Roman"/>
          <w:b/>
          <w:i/>
          <w:sz w:val="20"/>
        </w:rPr>
        <w:t>Underwriting Agreement</w:t>
      </w:r>
      <w:r>
        <w:rPr>
          <w:rFonts w:ascii="Times New Roman" w:hAnsi="Times New Roman"/>
          <w:sz w:val="20"/>
        </w:rPr>
        <w:t>”), by and among the Company, TD Securities (USA) LLC and William Blair &amp; Company, L.L.C. (collectively, the “</w:t>
      </w:r>
      <w:r>
        <w:rPr>
          <w:rFonts w:ascii="Times New Roman" w:hAnsi="Times New Roman"/>
          <w:b/>
          <w:i/>
          <w:sz w:val="20"/>
        </w:rPr>
        <w:t>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Underwriting Agreement, the Company’s Amended and Restated Certificate of Incorporation and the Company’s Amended and Restated Bylaws, each as currently in effect,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stated herein and no opinion is implied or may be inferred beyond the matters expressly stated. Our opinion herein is expressed solely with respect to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issued and sold against payment therefor in accordance with the Underwriting Agreement, will be validly issued, fully paid and nonassessable. </w:t>
      </w:r>
    </w:p>
    <w:p>
      <w:pPr>
        <w:pStyle w:val="TextBody"/>
        <w:bidi w:val="0"/>
        <w:spacing w:before="0" w:after="0"/>
        <w:jc w:val="left"/>
        <w:rPr/>
      </w:pPr>
      <w:r>
        <w:rPr/>
        <w:t> </w:t>
      </w:r>
    </w:p>
    <w:p>
      <w:pPr>
        <w:pStyle w:val="TextBody"/>
        <w:bidi w:val="0"/>
        <w:spacing w:before="0" w:after="0"/>
        <w:jc w:val="right"/>
        <w:rPr/>
      </w:pPr>
      <w:r>
        <w:rPr/>
        <w:drawing>
          <wp:inline distT="0" distB="0" distL="0" distR="0">
            <wp:extent cx="349567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95675" cy="3143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9542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581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reference to our firm under the caption “Legal Matters” in the Prospectus Supplement and to the filing of this opinion as an exhibit to a Current Report on Form 8-K of the Company. In giving such consent, we do not hereby admit that we are within the category of persons whose consent is required under Section 7 of the Securities Act or the rules or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Paul Hastings LLP</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349567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95675" cy="31432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6" w:name="d170994dex991.htm"/>
      <w:bookmarkStart w:id="7" w:name="ksd170994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57175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0" cy="4953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Teknova Announces Proposed Public Offering of Common Stock </w:t>
      </w:r>
    </w:p>
    <w:p>
      <w:pPr>
        <w:pStyle w:val="TextBody"/>
        <w:bidi w:val="0"/>
        <w:spacing w:before="240" w:after="0"/>
        <w:jc w:val="left"/>
        <w:rPr>
          <w:rFonts w:ascii="Times New Roman" w:hAnsi="Times New Roman"/>
          <w:sz w:val="20"/>
        </w:rPr>
      </w:pPr>
      <w:r>
        <w:rPr>
          <w:rFonts w:ascii="Times New Roman" w:hAnsi="Times New Roman"/>
          <w:b/>
          <w:sz w:val="20"/>
        </w:rPr>
        <w:t>HOLLISTER, CA – October 20, 2026</w:t>
      </w:r>
      <w:r>
        <w:rPr>
          <w:rFonts w:ascii="Times New Roman" w:hAnsi="Times New Roman"/>
          <w:sz w:val="20"/>
        </w:rPr>
        <w:t xml:space="preserve"> – Alpha Teknova, Inc. (“Teknova”) (Nasdaq: TKNO), a leading producer of critical reagents for the discovery, development, and commercialization of novel therapies, vaccines, and molecular diagnostics, today announced that it has commenced an underwritten public offering of its common stock. Teknova also intends to grant the underwriters a 30-day option to purchase up to an additional fifteen percent (15%) of shares of its common stock offered in the offering. All of the shares of common stock to be sold in the proposed offering are to be sold by Teknova. The proposed offering is subject to market and other conditions, and there can be no assurance as to whether or when the proposed offering may be completed, or as to the actual size or terms of the proposed offering. </w:t>
      </w:r>
    </w:p>
    <w:p>
      <w:pPr>
        <w:pStyle w:val="TextBody"/>
        <w:bidi w:val="0"/>
        <w:spacing w:before="240" w:after="0"/>
        <w:jc w:val="left"/>
        <w:rPr>
          <w:rFonts w:ascii="Times New Roman" w:hAnsi="Times New Roman"/>
          <w:sz w:val="20"/>
        </w:rPr>
      </w:pPr>
      <w:r>
        <w:rPr>
          <w:rFonts w:ascii="Times New Roman" w:hAnsi="Times New Roman"/>
          <w:sz w:val="20"/>
        </w:rPr>
        <w:t xml:space="preserve">TD Cowen and William Blair are acting as joint book-running managers for the proposed offering. </w:t>
      </w:r>
    </w:p>
    <w:p>
      <w:pPr>
        <w:pStyle w:val="TextBody"/>
        <w:bidi w:val="0"/>
        <w:spacing w:before="240" w:after="0"/>
        <w:jc w:val="left"/>
        <w:rPr>
          <w:rFonts w:ascii="Times New Roman" w:hAnsi="Times New Roman"/>
          <w:sz w:val="20"/>
        </w:rPr>
      </w:pPr>
      <w:r>
        <w:rPr>
          <w:rFonts w:ascii="Times New Roman" w:hAnsi="Times New Roman"/>
          <w:sz w:val="20"/>
        </w:rPr>
        <w:t xml:space="preserve">Teknova currently intends to use the net proceeds from the proposed offering for general corporate purposes, including potentially the repayment of outstanding debt obligations. Teknova may use a portion of the net proceeds to acquire or invest in other businesses, products, and technologies that are complementary to its own, although Teknova has no current commitments or arrangements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proposed offering is being made pursuant to an effective shelf registration statement on Form S-3 (File No. 333-288613), previously filed with the Securities and Exchange Commission (the “SEC”) on July 10, 2025, and declared effective on July 16, 2025. The securities may be offered only by means of a prospectus and prospectus supplement that form a part of the registration statement. A preliminary prospectus supplement and the accompanying prospectus relating to and describing the terms of the proposed offering will be filed with the SEC and will be available on the SEC’s website at www.sec.gov. When available, copies of the preliminary prospectus supplement and the accompanying prospectus relating to the proposed offering may also be obtained by contacting TD Securities (USA) LLC, Attention: Broadridge Financial Solutions, 1155 Long Island Avenue, Edgewood, New York 11717, or by email at TDManualrequest@broadridge.com; or William Blair &amp; Company, L.L.C., Attention: Prospectus Department, 150 North Riverside Plaza, Chicago, Illinois 60606, by telephone at 1-800-621-0687, or by email at prospectus@williamblair.com.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Teknova </w:t>
      </w:r>
    </w:p>
    <w:p>
      <w:pPr>
        <w:pStyle w:val="TextBody"/>
        <w:bidi w:val="0"/>
        <w:spacing w:before="120" w:after="0"/>
        <w:jc w:val="left"/>
        <w:rPr>
          <w:rFonts w:ascii="Times New Roman" w:hAnsi="Times New Roman"/>
          <w:sz w:val="20"/>
        </w:rPr>
      </w:pPr>
      <w:r>
        <w:rPr>
          <w:rFonts w:ascii="Times New Roman" w:hAnsi="Times New Roman"/>
          <w:sz w:val="20"/>
        </w:rPr>
        <w:t xml:space="preserve">Teknova makes solutions possible. Since 1996, Teknova has been innovating the manufacture of critical reagents for the life sciences industry to accelerate the discovery and development of novel breakthroughs that will help people live longer, healthier lives. We offer fully customizable solutions for every stage of the workflow, supporting industry leaders in genomics, molecular diagnostics, and emerging therapeutic modalities. Our fast turnaround of high-quality agar plates, microbial culture and cryopreservation media, buffers and reagents, and water helps our customers scale seamlessly from RUO to GMP. Headquartered in Hollister, California, with over 180,000 square feet of state-of-the-art facilities, Teknova’s modular manufacturing platform was designed by our team of scientists, engineers, and quality control experts to efficiently produce the foundational ingredients for the discovery and commercialization of next-generation therapies.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under the safe harbor provisions of the U.S. Private Securities Litigation Reform Act of 1995, including statements regarding Teknova’s expectations on the timing, size and completion of the proposed offering, Teknova’s intention to grant the underwriters a 30-day option to purchase additional shares, and the anticipated use of proceeds therefrom. Forward-looking statements can often be identified by such words as “will,” “expects,” “plans,” “believes,” “intends,” “estimates,” “projects,” “continue,” “potential” or other similar words or expressions. Forward-looking statements are based on Teknova’s current expectations. Forward-looking statements are subject to risks and uncertainties that could cause actual results to differ materially and adversely and reported results should not be considered as an indication of future performance. These risks and uncertainties include, but are not limited to: risks and uncertainties associated with market and other conditions and the satisfaction of customary closing conditions related to the proposed public offering and other risks that are described in Teknova’s most recent periodic reports filed with the Securities and Exchange Commission, including Teknova’s Annual Report on Form 10-K for the year ended December 31, 2025 and subsequent Quarterly Reports on Form 10-Q, including the risk factors set forth in those filings. These forward-looking statements speak only as of the date hereof. Teknova disclaims any obligation to update these forward-looking statements,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Matt Lowell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matt.lowell@teknova.com </w:t>
      </w:r>
    </w:p>
    <w:p>
      <w:pPr>
        <w:pStyle w:val="TextBody"/>
        <w:bidi w:val="0"/>
        <w:spacing w:before="0" w:after="0"/>
        <w:jc w:val="left"/>
        <w:rPr>
          <w:rFonts w:ascii="Times New Roman" w:hAnsi="Times New Roman"/>
          <w:sz w:val="20"/>
        </w:rPr>
      </w:pPr>
      <w:r>
        <w:rPr>
          <w:rFonts w:ascii="Times New Roman" w:hAnsi="Times New Roman"/>
          <w:sz w:val="20"/>
        </w:rPr>
        <w:t xml:space="preserve">+1 831-637-1100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Jennifer Henry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Marketing </w:t>
      </w:r>
    </w:p>
    <w:p>
      <w:pPr>
        <w:pStyle w:val="TextBody"/>
        <w:bidi w:val="0"/>
        <w:spacing w:before="0" w:after="0"/>
        <w:jc w:val="left"/>
        <w:rPr>
          <w:rFonts w:ascii="Times New Roman" w:hAnsi="Times New Roman"/>
          <w:sz w:val="20"/>
        </w:rPr>
      </w:pPr>
      <w:r>
        <w:rPr>
          <w:rFonts w:ascii="Times New Roman" w:hAnsi="Times New Roman"/>
          <w:sz w:val="20"/>
        </w:rPr>
        <w:t xml:space="preserve">jenn.henry@teknova.com </w:t>
      </w:r>
    </w:p>
    <w:p>
      <w:pPr>
        <w:pStyle w:val="TextBody"/>
        <w:bidi w:val="0"/>
        <w:spacing w:before="0" w:after="0"/>
        <w:jc w:val="left"/>
        <w:rPr>
          <w:rFonts w:ascii="Times New Roman" w:hAnsi="Times New Roman"/>
          <w:sz w:val="20"/>
        </w:rPr>
      </w:pPr>
      <w:r>
        <w:rPr>
          <w:rFonts w:ascii="Times New Roman" w:hAnsi="Times New Roman"/>
          <w:sz w:val="20"/>
        </w:rPr>
        <w:t xml:space="preserve">+1 831-313-1259 </w:t>
      </w:r>
    </w:p>
    <w:p>
      <w:pPr>
        <w:pStyle w:val="TextBody"/>
        <w:bidi w:val="0"/>
        <w:spacing w:before="0" w:after="0"/>
        <w:jc w:val="right"/>
        <w:rPr>
          <w:rFonts w:ascii="Times New Roman" w:hAnsi="Times New Roman"/>
          <w:b/>
          <w:sz w:val="20"/>
        </w:rPr>
      </w:pPr>
      <w:bookmarkStart w:id="8" w:name="d170994dex992.htm"/>
      <w:bookmarkStart w:id="9" w:name="ksd170994dex992"/>
      <w:bookmarkEnd w:id="8"/>
      <w:bookmarkEnd w:id="9"/>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5717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0" cy="4953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Teknova Announces Pricing of $40 Million Public Offering of Common Stock </w:t>
      </w:r>
    </w:p>
    <w:p>
      <w:pPr>
        <w:pStyle w:val="TextBody"/>
        <w:bidi w:val="0"/>
        <w:spacing w:before="240" w:after="0"/>
        <w:jc w:val="left"/>
        <w:rPr>
          <w:rFonts w:ascii="Times New Roman" w:hAnsi="Times New Roman"/>
          <w:sz w:val="20"/>
        </w:rPr>
      </w:pPr>
      <w:r>
        <w:rPr>
          <w:rFonts w:ascii="Times New Roman" w:hAnsi="Times New Roman"/>
          <w:b/>
          <w:sz w:val="20"/>
        </w:rPr>
        <w:t>HOLLISTER, CA – October 20, 2026</w:t>
      </w:r>
      <w:r>
        <w:rPr>
          <w:rFonts w:ascii="Times New Roman" w:hAnsi="Times New Roman"/>
          <w:sz w:val="20"/>
        </w:rPr>
        <w:t xml:space="preserve"> – Alpha Teknova, Inc. (“Teknova”) (Nasdaq: TKNO), a leading producer of critical reagents for the discovery, development, and commercialization of novel therapies, vaccines, and molecular diagnostics, today announced the pricing of its underwritten public offering of 8,000,000 shares of its common stock at a price to the public of $5.00 per share. The gross proceeds from the offering, before deducting underwriting discounts and commissions and offering expenses, are expected to be $40 million. Teknova has also granted the underwriters a 30-day option to purchase up to 1,200,000 additional shares of its common stock. All of the shares of common stock in the offering are to be sold by Teknova. The offering is expected to close on or about October 22,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TD Cowen and William Blair are acting as joint book-running managers for the proposed offering. Craig-Hallum is acting as lead manager. Stephens Inc. and Roth Capital Partners are acting as co-managers. Perrella Weinberg Partners is serving as financial adviser to Teknova. </w:t>
      </w:r>
    </w:p>
    <w:p>
      <w:pPr>
        <w:pStyle w:val="TextBody"/>
        <w:bidi w:val="0"/>
        <w:spacing w:before="240" w:after="0"/>
        <w:jc w:val="left"/>
        <w:rPr>
          <w:rFonts w:ascii="Times New Roman" w:hAnsi="Times New Roman"/>
          <w:sz w:val="20"/>
        </w:rPr>
      </w:pPr>
      <w:r>
        <w:rPr>
          <w:rFonts w:ascii="Times New Roman" w:hAnsi="Times New Roman"/>
          <w:sz w:val="20"/>
        </w:rPr>
        <w:t xml:space="preserve">Teknova currently intends to use the net proceeds from this offering for general corporate purposes, including potentially the repayment of outstanding debt obligations. Teknova may use a portion of the net proceeds to acquire or invest in other businesses, products, and technologies that are complementary to its own, although Teknova has no current commitments or arrangements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is being made pursuant to an effective shelf registration statement on Form S-3 (File No. 333-288613), previously filed with the Securities and Exchange Commission (the “SEC”) on July 10, 2025, and declared effective on July 16, 2025. The securities may be offered only by means of a prospectus and prospectus supplement that form a part of the registration statement. A preliminary prospectus supplement and the accompanying prospectus relating to and describing the terms of the offering have been filed with the SEC and are available on the SEC’s website at www.sec.gov. Copies of the preliminary prospectus supplement and the accompanying prospectus, and when available, copies of the final prospectus supplement and the accompanying prospectus relating to the offering, may also be obtained by contacting TD Securities (USA) LLC, Attention: Broadridge Financial Solutions, 1155 Long Island Avenue, Edgewood, New York 11717, or by email at TDManualrequest@broadridge.com; or William Blair &amp; Company, L.L.C., Attention: Prospectus Department, 150 North Riverside Plaza, Chicago, Illinois 60606, by telephone at 1-800-621-0687, or by email at prospectus@williamblair.com.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Teknova </w:t>
      </w:r>
    </w:p>
    <w:p>
      <w:pPr>
        <w:pStyle w:val="TextBody"/>
        <w:bidi w:val="0"/>
        <w:spacing w:before="120" w:after="0"/>
        <w:jc w:val="left"/>
        <w:rPr>
          <w:rFonts w:ascii="Times New Roman" w:hAnsi="Times New Roman"/>
          <w:sz w:val="20"/>
        </w:rPr>
      </w:pPr>
      <w:r>
        <w:rPr>
          <w:rFonts w:ascii="Times New Roman" w:hAnsi="Times New Roman"/>
          <w:sz w:val="20"/>
        </w:rPr>
        <w:t xml:space="preserve">Teknova makes solutions possible. Since 1996, Teknova has been innovating the manufacture of critical reagents for the life sciences industry to accelerate the discovery and development of novel breakthroughs that will help people live longer, healthier lives. We offer fully customizable solutions for every stage of the workflow, supporting industry leaders in genomics, molecular diagnostics, and emerging therapeutic modalities. Our fast turnaround of high-quality agar plates, microbial culture and cryopreservation media, buffers and reagents, and water helps our customers scale seamlessly from RUO to GMP. Headquartered in Hollister, California, with over 180,000 square feet of state-of-the-art facilities, Teknova’s modular manufacturing platform was designed by our team of scientists, engineers, and quality control experts to efficiently produce the foundational ingredients for the discovery and commercialization of next-generation therapies.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under the safe harbor provisions of the U.S. Private Securities Litigation Reform Act of 1995, including statements regarding Teknova’s expectations on the timing and completion of the offering and the anticipated use of proceeds therefrom. Forward-looking statements can often be identified by such words as “will,” “expects,” “plans,” “believes,” “intends,” “estimates,” “projects,” “continue,” “potential” or other similar words or expressions. Forward-looking statements are based on Teknova’s current expectations. Forward-looking statements are subject to risks and uncertainties that could cause actual results to differ materially and adversely and reported results should not be considered as an indication of future performance. These risks and uncertainties include, but are not limited to: risks and uncertainties associated with market and other conditions and the satisfaction of customary closing conditions related to the proposed public offering and other risks that are described in Teknova’s most recent periodic reports filed with the Securities and Exchange Commission, including Teknova’s Annual Report on Form 10-K for the year ended December 31, 2025 and subsequent Quarterly Reports on Form 10-Q, including the risk factors set forth in those filings. These forward-looking statements speak only as of the date hereof. Teknova disclaims any obligation to update these forward-looking statements,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Matt Lowell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matt.lowell@teknova.com </w:t>
      </w:r>
    </w:p>
    <w:p>
      <w:pPr>
        <w:pStyle w:val="TextBody"/>
        <w:bidi w:val="0"/>
        <w:spacing w:before="0" w:after="0"/>
        <w:jc w:val="left"/>
        <w:rPr>
          <w:rFonts w:ascii="Times New Roman" w:hAnsi="Times New Roman"/>
          <w:sz w:val="20"/>
        </w:rPr>
      </w:pPr>
      <w:r>
        <w:rPr>
          <w:rFonts w:ascii="Times New Roman" w:hAnsi="Times New Roman"/>
          <w:sz w:val="20"/>
        </w:rPr>
        <w:t xml:space="preserve">+1 831-637-1100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Jennifer Henry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Marketing </w:t>
      </w:r>
    </w:p>
    <w:p>
      <w:pPr>
        <w:pStyle w:val="TextBody"/>
        <w:bidi w:val="0"/>
        <w:spacing w:before="0" w:after="0"/>
        <w:jc w:val="left"/>
        <w:rPr>
          <w:rFonts w:ascii="Times New Roman" w:hAnsi="Times New Roman"/>
          <w:sz w:val="20"/>
        </w:rPr>
      </w:pPr>
      <w:r>
        <w:rPr>
          <w:rFonts w:ascii="Times New Roman" w:hAnsi="Times New Roman"/>
          <w:sz w:val="20"/>
        </w:rPr>
        <w:t xml:space="preserve">jenn.henry@teknova.com </w:t>
      </w:r>
    </w:p>
    <w:p>
      <w:pPr>
        <w:pStyle w:val="TextBody"/>
        <w:bidi w:val="0"/>
        <w:spacing w:before="0" w:after="0"/>
        <w:jc w:val="left"/>
        <w:rPr>
          <w:rFonts w:ascii="Times New Roman" w:hAnsi="Times New Roman"/>
          <w:sz w:val="20"/>
        </w:rPr>
      </w:pPr>
      <w:r>
        <w:rPr>
          <w:rFonts w:ascii="Times New Roman" w:hAnsi="Times New Roman"/>
          <w:sz w:val="20"/>
        </w:rPr>
        <w:t xml:space="preserve">+1 831-313-1259 </w:t>
      </w:r>
    </w:p>
    <w:p>
      <w:pPr>
        <w:pStyle w:val="TextBody"/>
        <w:bidi w:val="0"/>
        <w:jc w:val="center"/>
        <w:rPr/>
      </w:pPr>
      <w:bookmarkStart w:id="10" w:name="d170994dex993.htm"/>
      <w:bookmarkStart w:id="11" w:name="ksd170994dex993"/>
      <w:bookmarkEnd w:id="10"/>
      <w:bookmarkEnd w:id="11"/>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99.3 Making Solutions Possible COMPANY OVERVIEW October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use of non-GAAP financial measures This meeting is for the purpose of familiarizing you with Alpha Teknova, Inc. ( Teknova ) and is made for informational purposes only and nothing in the presentation should be viewed, or construed, as “advice”. You understand and agree that the fact this meeting has taken place and anything you hear or learn during this meeting is strictly confidential. By agreeing to attend this meeting, you agree to keep all such information confidential. We have filed with the Securities and Exchange Commission (the SEC ) a registration statement on Form S-3 (including a prospectus) and will file with the SEC a prospectus supplement to the prospectus for the proposed public offering of our securities to which this presentation (and oral statements made regarding the subjects of this presentation) relates. Before you invest, you should read the prospectus supplement and accompanying prospectus in that registration statement and the documents incorporated by reference or filed as exhibits to the registration statement for more complete information about the Company and this offering. You may obtain these documents, when available, and other documents for free by visiting EDGAR on the SEC website. Alternatively, copies of the prospectus supplement and accompanying prospectus, when available, may be obtained from TD Securities (USA) LLC, 1 Vanderbilt Avenue, New York, New York 10017, or by telephone at (855) 495-9846 or email at TD.ECM_Prospectus@tdsecurities.com; or from William Blair &amp; Company, L.L.C., The William Blair Building, 150 North Riverside Plaza, Chicago, Illinois 60606, or by telephone at (800) 621-0687 or email at prospectus@williamblair.com. This presentation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Statements in this presentation about future expectations, plans, and prospects, as well as any other statements regarding matters that are not historical facts, may constitute “forward-looking statements.” These statements include, but are not limited to, statements relating to Teknova’s anticipated total revenue, including our expectations for 2026 revenue and Free Cash Outflow guidance, and other statements about Teknova’s business prospects, including about Teknova’s profitability, strategy of managing operating expenses, and long-term growth strategy.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These forward-looking statements are based on management’s current expectations and beliefs and are subject to risks and uncertainties, all of which are difficult to predict and many of which are beyond Teknova’s control and could cause actual results to differ materially and adversely from those described in the forward-looking statements. These risks and uncertainties include, but are not limited to, demand for Teknova’s products (including the potential delay to or pausing of customer orders); Teknova’s assessment of fundamental indicators of future demand across its target customer base; Teknova’s cash flows and revenue growth rate; Teknova’s supply chain, sourcing, manufacturing, and warehousing; inventory management; risks related to global economic and marketplace uncertainties, including those related to the conflicts in Ukraine and the Middle East; potential acquisitions and integration of other companies; and other factors discussed in the “Risk Factors” section of Teknova’s most recent periodic reports filed with the Securities and Exchange Commission (“SEC”), including in Teknova’s Annual Report on Form 10-K for the year ended December 31, 2025, and subsequent Quarterly Reports on Form 10-Q filed with the SEC, all of which you may obtain for free on the SEC’s website at www.sec.gov. Although Teknova believes that the expectations reflected in its forward-looking statements are reasonable, Teknova does not know whether its expectations will prove correct. You are cautioned not to place undue reliance on these forward-looking statements, which Teknova makes only as of the date hereof, even if they are repeated by Teknova subsequently. Teknova does not intend and shall have no obligation to update, amend, or clarify these forward-looking statements, except as may be required under applicable securities laws. Additionally, this presentation contains financial measures that have not been calculated in accordance with U.S. generally accepted accounting principles (GAAP). Teknova uses the following non-GAAP financial measures in assessing the performance of its business and the effectiveness of its business strategies: (a) Adjusted EBITDA and (b) Free Cash Flow (Outflow). Teknova defines Adjusted EBITDA as net income (loss) adjusted for interest income (expense), net, provision for (benefit from) income taxes, depreciation expense, amortization of intangible assets, and stock-based compensation expense. Adjusted EBITDA reflects further adjustments to eliminate the impact of certain items, including certain non-cash and other items that Teknova does not consider representative of its ongoing operating performance. Teknova defines Free Cash Flow (Outflow) as cash provided by (used in) operating activities less purchases of property, plant, and equipment. Teknova provides Adjusted EBITDA and Free Cash Flow (Outflow) in this presentation because Teknova believes that analysts, investors, and other interested parties frequently use these measures to evaluate companies in Teknova’s industry and that such measures facilitate comparisons on a consistent basis across reporting periods. Teknova also believes such measures are helpful in highlighting trends in Teknova’s operating results because they exclude items that are not indicative of Teknova’s core operating performance. Investors should consider non-GAAP financial measures in addition to, and not as a substitute for, or as superior to, measures of financial performance prepared in accordance with GAAP. The non-GAAP financial measures presented by Teknova may be different from the non-GAAP financial measures used by other companies. A full reconciliation of these non-GAAP measures to the most comparable GAAP measures is included at the end of this presentation. 2 © 2026 Alpha Teknova, Inc. ● All Rights Reserved ● October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MAKE SOLUTIONS POSSIBLE Leading provider of critical reagents for the discovery, development, and commercialization of novel therapies and diagnostics 2026E REVENUE GROWTH PROJECT ADJUSTED 2026E REVENUE GUIDANCE (MIDPOINT) EBITDA POSITIVE QTR IN 14% 2027 $45-47M ACTIVE # CLINICAL CUSTOMER NUMBER OF CUSTOMERS 2025 YoY % GROWTH THERAPIES SUPPORTED 3,000+ 25% &gt;70 CUSTOMER NUMBER OF ASSOCIATES % REVENUE RETENTION RATE (AS OF JUNE 30, 2026) FROM CELL &amp; GENE THPY 95% 156 ~24% All metrics reflect FY:2025 actuals unless otherwise noted. 2026 figures are guidance/estimates and subject to change. © 2026 Alpha Teknova, Inc. ● All Rights Reserved ● October 2026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products are foundational to the life sciences industry LIQUID MICROBIAL MOLECULAR AGAR PLATES CULTURE MEDIA BIOLOGY REAGENTS AND SUPPLEMENTS Extensive selection of standard Wide variety of liquid media Vast range of product types, sizes, and specialty pre-poured agar and broths to expand a particular pH, and molarities to support a plates for a wide variety of microbial or bacterial cell of multitude of applications, such as applications including bacteria, interest under controlled cell lysis, purifying nucleic acids or fungi, and nematode growth, conditions, to freeze cells, or to proteins, washing, resuspending, and environmental monitoring conduct media fills for aseptic and analyzing samples, and in cleanroom spaces validation and monitoring sample management © 2026 Alpha Teknova, Inc. ● All Rights Reserved ● October 2026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2025 REVENUE BREAKDOWN Primary End Markets 5% Non- Product Revenue APPROX. APPROX. APPROX. 400 1,900 1,000 ~15% ACCOUNTS ACCOUNTS ACCOUNTS Other Markets BIOPHARMA AND LIFE SCIENCE TOOLS OTHER MARKETS CONTRACT AND DIAGNOSTICS MANUFACTURING ~50% Biopharma &amp; Contract ~30% • ~850 Biotech • ~250 Life Science Tools • Academic &amp; Government Manufacturing Life Science • Animal Health • ~30 Large Pharma • ~150 Diagnostic Tools &amp; • Hospitals • ~200 CDMO/CMOs Diagnostics • Distributors REVENUE BY END MARKET: FY:2025 5 © 2026 Alpha Teknova, Inc. ● All Rights Reserved ● October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by Product Type and Customer End Market Total 2024 Revenue by OTHER Product Type and End Market 2025 REVENUE BREAKDOWN ~5% CLINICAL • Lab Essentials: ~75% of 2025 Revenue SOLUTIONS § Research-grade reagents (RUO) ~20% 15% § Catalog product revenue comprises ~80% CLINICAL SOLUTIONS Catalog § Custom product revenue comprises ~20% CUSTOM &lt;5% PRODUCTS (including RUO+) • Primarily Biopharma, Life Science Tools 60% and Diagnostics customers 15% LAB ESSENTIALS LAB ESSENTIALS CATALOG PRODUCTS • Clinical Solutions: ~20% of 2025 Revenue CUSTOM PRODUCTS § Clinical-grade reagents (GMP) § Catalog product revenue comprises ~10% LAB § Custom product revenue comprises ~90% ESSENTIALS • Primarily Biopharma and Diagnostics ~75% customers in clinical trials • Other: ~5% of 2025 Revenue § Includes services, shipping, and other non-product related revenue © 2026 Alpha Teknova, Inc. ● All Rights Reserved ● October 2026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Why We Win FASTER CATALOG BUSINESS SMALLER CUSTOM TURNAROUND TIME AS A FOUNDATION BATCH SIZES Initial Build Sizes for Custom Time from Order to Shipment Relative Annual Spend Research and Clinical Orders by Account Type in 2025 for Custom Orders 44X 10,000 L MONTHS 1,000 L Typical batch size for Emerging Therapies 100 L 25X and Diagnostics PRODUCTS SHIPPED IN WEEKS 10 L 1 L 1X 1 Others Teknova Catalog Custom GMP 1 Only RUO Others Teknova 1 Illustrative models based on Teknova’s knowledge of competing technologies © 2026 Alpha Teknova, Inc. ● All Rights Reserved ● October 2026 7 TIME Quote Production QC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barriers to producing similar custom reagents for our target markets are considerable FACILITIES AND ESTABLISHED CO-LOCATED BESPOKE MODULAR INFRASTRUCTURE CATALOG BUSINESS MANUFACTURING SYSTEM Estimated Cost to Replicate: Estimated Time to Replicate: Estimated Time to Replicate: * * * $50M+, &gt;3 years &gt;10 years &gt;5 years • State-of-the-art, GMP • Switch seamlessly between • Specialized, in-house built manufacturing facilities production of catalog and software and equipment custom products • Facilities support production • Custom integration of key IT needs from discovery to • On-site access to raw materials systems: ERP, QMS, and CRM commercialization due to breadth of catalog • Proprietary production know-how • Capacity for &gt;$200M in annual • Effective utilization of key costs learned over 30 years across * revenue like labor, equipment, and facilities thousands of SKUs * Based on management’s estimates © 2026 Alpha Teknova, Inc. ● All Rights Reserved ● October 2026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Research- Significant Critical grade Additional operating supplier of reagents near-term leverage in GMP-grade provide a catalysts our P&amp;L reagents diverse, create as our for emerging predictable, potential revenue therapies and and growing tailwinds increases diagnostics foundation © 2026 Alpha Teknova, Inc. ● All Rights Reserved ● October 2026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success in attracting clinical customers 1 NUMBER OF CLINICAL SOLUTIONS CUSTOMERS 60 10 48 6 35 7 26 23 50 4 42 6 13 36% 28 2 22 17 2020-2025 11 CAGR 2020 2021 2022 2023 2024 2025 Biopharma Tools/Dx/Other Total 1 Customer is defined as any customer purchasing within the fiscal year. There is a $5,000 minimum threshold for Clinical Solutions customers. © 2026 Alpha Teknova, Inc. ● All Rights Reserved ● October 2026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are a critical supplier for more than 70 therapies in clinical trials ~$3.0M ~$0.3M 29.8X ~$0.2M ~$0.1M 3.2X 1.4X 1X Illustrative Annual and Relative 1 Customer Spend by Phase CLINICAL DEVELOPMENT RESEARCH PRECLINICAL POST-APPROVAL AND DISCOVERY DEVELOPMENT PHASE Stage of Clinical Therapies Supported EXPECT TO 55+ 12 5 SUPPORT AT LEAST ONE PRECLINICAL PHASE 1 PHASE 2/3 COMMERCIAL THERAPY OR DIAGNOSTIC BY END OF 2027 1 Fletcher Spaght Growth Strategy Report, commissioned by Teknova and dated October 6, 2020 © 2026 Alpha Teknova, Inc. ● All Rights Reserved ● October 2026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Life Science Tools and Diagnostics accounts comprise remaining Clinical Solutions customers These customers utilize Teknova to manufacture their proprietary formulations for resale or as raw materials in their manufacturing processes to support high growth end markets such as bioprocessing and liquid biopsy © 2026 Alpha Teknova, Inc. ● All Rights Reserved ● October 2026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Research- Significant Critical grade Additional operating supplier of reagents near-term leverage in GMP-grade provide a catalysts our P&amp;L reagents diverse, create as our for emerging predictable, potential revenue therapies and and growing tailwinds increases diagnostics foundation © 2026 Alpha Teknova, Inc. ● All Rights Reserved ● October 2026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Supporting 3,000+ customers across the life sciences Limited Customer Concentration Stable Top Accounts (Top Lab Essentials Revenue / Total Revenue) 2025 End Market Tenure 2019-25 CAGR Rank 1 Genomics &gt;10 yrs 45% Top 5: 12% 42% 2 Genomics &gt;10 yrs Top 10: 18% 72% 3 Genomics 9 yrs 4 Large Pharma &gt;10 yrs 10% 10% 5 Genomics &gt;10 yrs 6 Cell &amp; Gene Therapy 9 yrs 91% 6% 7 Distributor &gt;10 yrs Rest: 82% 8 Large Pharma &gt;10 yrs 9% 0% 9 CDMO &gt;10 yrs 10 Cell &amp; Gene Therapy &gt;10 yrs -19% © 2026 Alpha Teknova, Inc. ● All Rights Reserved ● October 2026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products are foundational to the life sciences industry Plasmid Production Gene DNA We support the leading life Synthesis and RNA science tools companies: • Sequencing • Single cell Spatial- Enzyme • Spatial genomics genomics Production • Enzyme production • Nucleic acid production Single- Sequencing Cell Analysis © 2026 Alpha Teknova, Inc. ● All Rights Reserved ● October 2026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History of consistent double-digit growth LAB ESSENTIALS REVENUE $35,000,000 $30,000,000 $25,000,000 $20,000,000 $15,000,000 11% $10,000,000 2008-2025 $5,000,000 CAGR $- 2008 2009 2010 2011 2012 2013 2014 2015 2016 2017 2018 2019 2020 2021 2022 2023 2024 2025 Pandemic © 2026 Alpha Teknova, Inc. ● All Rights Reserved ● October 2026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Research- Significant Critical grade Additional operating supplier of reagents near-term leverage in GMP-grade provide a catalysts our P&amp;L reagents diverse, create as our for emerging predictable, potential revenue therapies and and growing tailwinds increases diagnostics foundation © 2026 Alpha Teknova, Inc. ● All Rights Reserved ● October 2026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 $200M in revenue * capacity with minimal additional capital investment required • ISO 13485-certified (GMP) facilities to support customers from discovery to commercialization 2 • Over 180,000 ft of facilities, including 2 approximately 10,000 ft of ISO 7 cleanrooms • In-house automation, engineering, and software teams support development and implementation of new production lines • Set up to scale with custom implementations of ERP, Quality Management System, Salesforce, and data analytics * Based on management’s estimates © 2026 Alpha Teknova, Inc. ● All Rights Reserved ● October 2026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FTEs (#) Effective cost management after period of investment sets up attractive financial profile with top-line growth $45 300 $41 $41 $35 $38 $37 250 $25 200 $15 ADJUSTED EBITDA 150 POSITIVE QTR $5 BEFORE THE END OF 100 ($7) ($5) ($15) 50 ($15) ($20) 2027 ($22) ($25) 0 2022 2023 2024 2025 Revenue Adj.EBITDA FTEs © 2026 Alpha Teknova, Inc. ● All Rights Reserved ● October 2026 19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OPERATING LEVERAGE WITH TOP-LINE GROWTH 70% of revenue growth drops to bottom line 65%+ Gross Margin Gross Profit Variable Cost of Goods Sold • Grows in proportion to revenue – direct materials, packaging, scrap/waste, supplies, etc. • ~25-30% of total cost of sales today 55-60% Gross Margin Fixed Cost of Goods Sold • Largest component of our cost of 33% 27% Adj. goods today Gross Margin Gross Margin* • Capacity utilization drives absorption of fixed costs • Efficiencies from automation and higher volumes on GMP product runs allow more dollar output per labor hour 2024 2025 2X Revenue 4X Revenue * Adjusted Gross Margin equals GAAP Gross Margin plus $2.8M non-recurring non-cash charge for expired and excess inventory. © 2026 Alpha Teknova, Inc. ● All Rights Reserved ● October 2026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Research- Significant Critical grade Additional operating supplier of reagents near-term leverage in GMP-grade provide a catalysts our P&amp;L reagents diverse, create as our for emerging predictable, potential revenue therapies and and growing tailwinds increases diagnostics foundation © 2026 Alpha Teknova, Inc. ● All Rights Reserved ● October 2026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NEAR-TERM CATALYST Investing in commercial capabilities and activities INVESTMENT ($2M) SITUATION 1. Expand field team with expertise in life science • We believe that Biopharma end markets have stabilized and tools, diagnostics, and large pharma higher funding levels will persist 2. Drive more brand awareness through marketing activities such as tradeshows, seminars, and • We have also seen traction in targeted outreach high-growth markets like sequencing, spatial genomics, 3. Launch new lead generation tools and and cancer screening resources, including custom-built AI database for lead generation and qualification EXPECT INVESTMENT WILL ACCELERATE REVENUE GROWTH IN LATE 2026 AND INTO 2027 © 2026 Alpha Teknova, Inc. ● All Rights Reserved ● October 2026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NEW AI-POWERED ASSISTANT TM Build●Tek Custom Configurator Build complex custom product requests in minutes with Teknova’s interactive reagent assistant 3 minutes 3 days 30 years Build a complete Submit your Proven custom custom order with configuration and our reagent manufacturing just a few clicks in team returns a quote in experience behind one guided session 2-3 business days every order Evolution of our original Build●Tek buffer configurator provides complete guidance on formulation, format, manufacturing grade, QC testing, and more: • Assistant is trained on 30 years of Teknova’s manufacturing processes and know-how • Eliminates need for multiple rounds of inputs between the developer and Teknova technical team, which could take weeks and be error-prone • Configurations start with as much – or as little – as the developer has, and supports the upload of existing files, formulations, or literature • Developers can design multiple products at once • Additional features and functionality to come © 2026 Alpha Teknova, Inc. ● All Rights Reserved ● October 2026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NEW MANUFACTURING CAPABILITY TM Fill●Tek Dispensing System Increased customer demand for multiple bag sizes and filling configurations from the same production run led the team to develop our new single-use bag filling process • Provides greater flexibility for more varied custom GMP orders § Removes previous order quantity limitations due to pre-welded manifold • Improves margin for catalog GMP products by reducing costly manufacturing components Supports wide range of filters, and QC sample and product bag sizes (from 250 mL to 200 L single-use bags) Works across multiple bag + connector + tubing types to seamlessly plug into customer’s system Reduces incoming QC requirements for the customer Fully validated for GMP-grade manufacturing, up to 16 welds per line 24 © 2026 Alpha Teknova, Inc. ● All Rights Reserved ● October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NEAR-TERM CATALYST Historically seen a four-quarter lag between funding changes and effects on revenue 45 6 4-QUARTER 40 SHIFT SITUATION 5 35 • Biotech funding has been mostly down since mid-2022 30 4 • Substantial rebound in funding 25 observed starting in Q4:2025 3 • Strong first half growth in 2026 20 15 2 IMPACT 10 1 Primary impact is in purchases of custom 5 products from Biopharma customers, which represented approximately 25% of - 0 total revenue in 2025 Biotech Funding Custom Biopharma Revenue Custom Biopharma Revenue -4Q © 2026 Alpha Teknova, Inc. ● All Rights Reserved ● October 2026 25 Q1:19 Q2:19 Q3:19 Q4:19 Q1:20 Q2:20 Q3:20 Q4:20 Q1:21 Q2:21 Q3:21 Q4:21 Q1:22 Q2:22 Q3:22 Q4:22 Q1:23 Q2:23 Q3:23 Q4:23 Q1:24 Q2:24 Q3:24 Q4:24 Q1:25 Q2:25 Q3:25 Q4:25 Q1:26 Q2:26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NEAR-TERM CATALYST Opportunity to expand through tuck-in M&amp;A Specific areas of interest: • Cell culture media and supplements • Transfection reagents • Cytokines, growth factors, enzymes, antibodies and other proteins • Geographic expansion © 2026 Alpha Teknova, Inc. ● All Rights Reserved ● October 2026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Proven management team with extensive experience in life sciences Stephen Gunstream Matt Lowell Jennifer Henry Damon Terrill President &amp; Chief Executive Officer Chief Financial Officer Senior Vice President, General Counsel, Marketing Chief Compliance Officer Bella Neufeld Shari Hubbell Neil Abhyankar Ben Viering Rakesh Ahuja Vice President, Senior Director, Vice President, Vice President, Information Vice President, Operations Customer Relations Sales Systems &amp; Architecture Quality &amp; Regulatory © 2026 Alpha Teknova, Inc. ● All Rights Reserved ● October 2026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Leading provider of custom research and GMP-grade reagents ready to support our customers as they scale We are successfully executing on our long-term growth plan, having increased our Clinical Solutions customer 1 base from 13 to 60 over the past five years We believe we are poised to drive significant long-term value for shareholders with these targets: • Sustainable 20-25% Revenue Growth Research-grade reagents provide a diverse, • 60-65% Gross Margin predictable, and growing foundation, with over 3,000 customers and a compound annual growth rate for Lab • 25-30% Adjusted EBITDA Margin Essentials revenue in the low-double-digits since 2008 1 Clinical Solutions customers with &gt;$5K spend per year © 2026 Alpha Teknova, Inc. ● All Rights Reserved ● October 2026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Q2:26 Financials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Q2:2026 Revenue Highlights Revenue by Category ($M) KEY HIGHLIGHTS $12.2 • Total second quarter revenue up 18% compared to the same period in $10.3 18% y/y $2.4 prior year • Lab Essentials increased 18% $2.1 compared to the same period in prior year • Clinical Solutions increased 18% $9.2 compared to the same period in $7.8 prior year Q2:2025 Q2:2026 Lab Essentials Clinical Solutions Other © 2026 Alpha Teknova, Inc. ● All Rights Reserved ● October 2026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Q2:2026 Income Statement Highlights Gross Margin (%) Total OpEx ($M) $7.8 $7.4 40.1% 38.7% Q2:2025 Q2:2026 Q2:2025 Q2:2026 1 Diluted EPS ($) Adjusted EBITDA ($M) ($0.7) ($0.06) ($0.8) ($0.07) Q2:2025 Q2:2026 Q2:2025 Q2:2026 1 Adjusted EBITDA is non-GAAP and adds back stock-based compensation and any qualified non-recurring items to EBITDA © 2026 Alpha Teknova, Inc. ● All Rights Reserved ● October 2026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Q2:2026 Cash Flow and Balance Sheet Highlights 1 Capital Expenditure ($M) Free Cash Flow ($M) ($0.6) ($2.3) $0.2 $0.1 Q2:2025 Q2:2026 Q2:2025 Q2:2026 Cash, Cash Equivalents, and Short-Term Investment was $17.4M as of June 30, 2026 1 Free Cash Flow equals cash provided by (used in) operating activities less purchases of property, plant, and equipment © 2026 Alpha Teknova, Inc. ● All Rights Reserved ● October 2026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Quarterly Financial Trends 1 Gross Margin (%) Total OpEx ($M) $10.2 $8.0 $8.1 $7.9 $7.9 $7.8 $7.8 $7.5 $7.4 $7.2 40% 39% 34% 32% 31% 31% 30% 29% $8.9 $8.1 $8.0 $7.8 $7.8 $7.8 $7.5 $7.4 $7.4 24% $7.2 23% Q1:24 Q2:24 Q3:24 Q4:24 Q1:25 Q2:25 Q3:25 Q4:25 Q1:26 Q2:26 Q1:24 Q2:24 Q3:24 Q4:24 Q1:25 Q2:25 Q3:25 Q4:25 Q1:26 Q2:26 Recurring Non-Recurring 2 Adjusted EBITDA ($M) 3 Free Cash Flow ($M) ($0.7) ($0.8) ($0.6) ($0.8) ($1.6) ($1.5) ($1.8) ($2.0) ($2.4) ($2.3) ($2.4) ($2.5) ($2.6) ($3.0) ($3.6) ($3.2) ($4.3) ($3.8) ($5.0) ($6.7) Q1:24 Q2:24 Q3:24 Q4:24 Q1:25 Q2:25 Q3:25 Q4:25 Q1:26 Q2:26 Q1:24 Q2:24 Q3:24 Q4:24 Q1:25 Q2:25 Q3:25 Q4:25 Q1:26 Q2:26 1 Gross Margin in Q3:24 excludes non-recurring, non-cash charges related to the expired and excess inventory ($2.8M) 2 3 Adjusted EBITDA is non-GAAP and adds back stock-based compensation and any qualified non-recurring items to EBITDA Free Cash Flow equals cash provided by (used in) operating activities less purchases of property, plant, and equipment © 2026 Alpha Teknova, Inc. ● All Rights Reserved ● October 2026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Outlook and Capital Runway GUIDANCE • Raising fiscal 2026 outlook for revenue and improving outlook for Free Cash Outflow • Anticipate total revenue of $45 million to $47 million for fiscal year ending December 31, 2026 (“2026”), up 14% y/y at the midpoint • Targeting Free Cash Outflow of less than $8 million for 2026 CAPITAL RUNWAY ASSUMPTIONS ADJUSTED • Estimate annualized revenue range of $52-57 million to achieve EBITDA POSITIVE Adjusted EBITDA break-even quarter before the end of 2027 QTR BY END OF • Expect sufficient liquidity to become cash flow positive with organic growth strategy, assuming: • Average low double-digit revenue growth 2027 • Average 70% contribution margin on additional revenue • Limited annual OpEx growth • ~$2 million per year of capital expenditure © 2026 Alpha Teknova, Inc. ● All Rights Reserved ● October 2026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Preliminary Q3:26 Financials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Preliminary Q3:26 Financial Results Q3 Highlights Metric Expected Result • Total revenue up 19% to 21% compared to the same period prior year Revenue $12.5M – $12.7M § Clinical Solutions revenue grew high double digits compared to the same period prior year, marking the highest revenue in over 3 years Gross Margin 36.0% – 38.0% § Steady and consistent high single-digit growth in Lab Essentials revenue compared to the same Adjusted EBITDA ($1.2M) – ($1.0M) period prior year • Gross margin expansion of 500-700 bps Cash &amp; Short Term compared to same period prior year, driven $16.6M 1 Investments primarily by top-line growth • Adjusted EBITDA loss expected to improve by at least 25% compared to same period prior year driven by continued cost discipline 1 As of September 30, 2026 © 2026 Alpha Teknova, Inc. ● All Rights Reserved ● October 2026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Supplemental Non-GAAP Reconciliations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ALPHA TEKNOVA, INC. Reconciliation of Non-GAAP Measures to the Most Comparable GAAP Measures (unaudited) (in thousands) © 2026 Alpha Teknova, Inc. ● All Rights Reserved ● October 2026 38</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32008</Words>
  <Characters>173465</Characters>
  <CharactersWithSpaces>205499</CharactersWithSpaces>
  <Paragraphs>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