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79208d424b5.htm"/>
        <w:bookmarkStart w:id="1" w:name="ksd179208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333-288613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is not complete and may be changed. A registration statement relating to these securities has been declared effective by the Securities and Exchange Commission. This preliminary prospectus supplement and the accompanying prospectus are not an offer to sell these securities, and we are not soliciting offers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OCTOBER 20, 2026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ind w:left="960" w:right="960" w:hanging="0"/>
        <w:jc w:val="left"/>
        <w:rPr>
          <w:rFonts w:ascii="Times New Roman" w:hAnsi="Times New Roman"/>
          <w:b/>
          <w:sz w:val="20"/>
        </w:rPr>
      </w:pPr>
      <w:r>
        <w:rPr>
          <w:rFonts w:ascii="Times New Roman" w:hAnsi="Times New Roman"/>
          <w:b/>
          <w:sz w:val="20"/>
        </w:rPr>
        <w:t xml:space="preserve">(To Prospectus Dated July 10, 2025)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525270" cy="31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5270" cy="31750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Alpha Teknova, Inc. </w:t>
      </w:r>
    </w:p>
    <w:p>
      <w:pPr>
        <w:pStyle w:val="TextBody"/>
        <w:bidi w:val="0"/>
        <w:spacing w:before="240" w:after="0"/>
        <w:ind w:left="960" w:right="960" w:hanging="0"/>
        <w:jc w:val="center"/>
        <w:rPr/>
      </w:pPr>
      <w:r>
        <w:rPr/>
        <w:t xml:space="preserve">     </w:t>
      </w:r>
      <w:r>
        <w:rPr>
          <w:rFonts w:ascii="Times New Roman" w:hAnsi="Times New Roman"/>
          <w:b/>
          <w:sz w:val="36"/>
        </w:rPr>
        <w:t xml:space="preserve">shares of Common Stock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offering      shares of our common stock, par value $0.00001 per share.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Global Market under the symbol “TKNO”. On October 19, 2026, the last reported sale price of our common stock, as reported on the Nasdaq Global Market, was $6.80 per share.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We are an “emerging growth company” and a “smaller reporting company” under applicable federal securities laws and, as such, we have elected to comply with certain reduced public company reporting requirements for this prospectus supplement and future filings with the Securities and Exchange Commission. See “</w:t>
      </w:r>
      <w:r>
        <w:rPr>
          <w:rFonts w:ascii="Times New Roman" w:hAnsi="Times New Roman"/>
          <w:i/>
          <w:sz w:val="20"/>
        </w:rPr>
        <w:t>Prospectus Supplement Summary—Implications of Being an Emerging Growth Company and a Smaller Reporting Company.</w:t>
      </w:r>
      <w:r>
        <w:rPr>
          <w:rFonts w:ascii="Times New Roman" w:hAnsi="Times New Roman"/>
          <w:sz w:val="20"/>
        </w:rPr>
        <w:t xml:space="preserve">” </w:t>
      </w:r>
    </w:p>
    <w:p>
      <w:pPr>
        <w:pStyle w:val="TextBody"/>
        <w:bidi w:val="0"/>
        <w:spacing w:before="240" w:after="0"/>
        <w:ind w:left="960" w:right="960" w:hanging="0"/>
        <w:jc w:val="left"/>
        <w:rPr/>
      </w:pPr>
      <w:r>
        <w:rPr>
          <w:rFonts w:ascii="Times New Roman" w:hAnsi="Times New Roman"/>
          <w:b/>
          <w:sz w:val="24"/>
        </w:rPr>
        <w:t>Our business and an investment in our common stock involve significant risks. These risks are described under the caption “</w:t>
      </w:r>
      <w:hyperlink w:anchor="supptoc179208_5">
        <w:r>
          <w:rPr>
            <w:rStyle w:val="InternetLink"/>
            <w:rFonts w:ascii="Times New Roman" w:hAnsi="Times New Roman"/>
            <w:b/>
            <w:sz w:val="24"/>
          </w:rPr>
          <w:t>Risk Factors</w:t>
        </w:r>
      </w:hyperlink>
      <w:r>
        <w:rPr>
          <w:rFonts w:ascii="Times New Roman" w:hAnsi="Times New Roman"/>
          <w:b/>
          <w:sz w:val="24"/>
        </w:rPr>
        <w:t xml:space="preserve">” beginning on page S-13 of this prospectus supplement and under similar headings in the documents incorporated by reference into this prospectus supplement and the accompanying prospectus.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6919"/>
        <w:gridCol w:w="322"/>
        <w:gridCol w:w="189"/>
        <w:gridCol w:w="1138"/>
        <w:gridCol w:w="74"/>
        <w:gridCol w:w="322"/>
        <w:gridCol w:w="172"/>
        <w:gridCol w:w="990"/>
        <w:gridCol w:w="79"/>
      </w:tblGrid>
      <w:tr>
        <w:trPr/>
        <w:tc>
          <w:tcPr>
            <w:tcW w:w="6919"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919"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74"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9" w:type="dxa"/>
            <w:tcBorders/>
            <w:vAlign w:val="bottom"/>
          </w:tcPr>
          <w:p>
            <w:pPr>
              <w:pStyle w:val="TableContents"/>
              <w:bidi w:val="0"/>
              <w:spacing w:before="0" w:after="283"/>
              <w:jc w:val="left"/>
              <w:rPr/>
            </w:pPr>
            <w:r>
              <w:rPr/>
              <w:t> </w:t>
            </w:r>
          </w:p>
        </w:tc>
      </w:tr>
      <w:tr>
        <w:trPr/>
        <w:tc>
          <w:tcPr>
            <w:tcW w:w="691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22"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r>
        <w:trPr/>
        <w:tc>
          <w:tcPr>
            <w:tcW w:w="69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322"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r>
      <w:tr>
        <w:trPr/>
        <w:tc>
          <w:tcPr>
            <w:tcW w:w="691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22"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“Underwriting” beginning on page S-20 for additional information regarding underwriter compensation. </w:t>
            </w:r>
          </w:p>
        </w:tc>
      </w:tr>
    </w:tbl>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have granted the underwriters a 30-day option to purchase up to      additional shares of common stock from us at the public offering price per share, less underwriting discounts and commissions.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underwriters expect to deliver the shares of common stock against payment in New York, New York on or about October  , 2026. </w:t>
      </w:r>
    </w:p>
    <w:p>
      <w:pPr>
        <w:pStyle w:val="TextBody"/>
        <w:bidi w:val="0"/>
        <w:spacing w:before="240" w:after="0"/>
        <w:ind w:left="960" w:right="960" w:hanging="0"/>
        <w:jc w:val="center"/>
        <w:rPr>
          <w:rFonts w:ascii="Times New Roman" w:hAnsi="Times New Roman"/>
          <w:b/>
          <w:i/>
          <w:sz w:val="20"/>
        </w:rPr>
      </w:pPr>
      <w:r>
        <w:rPr>
          <w:rFonts w:ascii="Times New Roman" w:hAnsi="Times New Roman"/>
          <w:b/>
          <w:i/>
          <w:sz w:val="20"/>
        </w:rPr>
        <w:t>Joint Book-Running Managers</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b/>
              </w:rPr>
            </w:pPr>
            <w:r>
              <w:rPr>
                <w:b/>
              </w:rPr>
              <w:t>TD Cowen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William Blair</w:t>
            </w:r>
          </w:p>
        </w:tc>
      </w:tr>
    </w:tbl>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This prospectus supplement is dated October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09"/>
        <w:gridCol w:w="124"/>
        <w:gridCol w:w="60"/>
        <w:gridCol w:w="350"/>
        <w:gridCol w:w="62"/>
      </w:tblGrid>
      <w:tr>
        <w:trPr/>
        <w:tc>
          <w:tcPr>
            <w:tcW w:w="960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09" w:type="dxa"/>
            <w:tcBorders/>
            <w:vAlign w:val="bottom"/>
          </w:tcPr>
          <w:p>
            <w:pPr>
              <w:pStyle w:val="TableContents"/>
              <w:bidi w:val="0"/>
              <w:spacing w:before="0" w:after="0"/>
              <w:jc w:val="left"/>
              <w:rPr/>
            </w:pPr>
            <w:hyperlink w:anchor="supptoc179208_1">
              <w:r>
                <w:rPr>
                  <w:rStyle w:val="InternetLink"/>
                  <w:rFonts w:ascii="Times New Roman" w:hAnsi="Times New Roman"/>
                  <w:sz w:val="20"/>
                </w:rPr>
                <w:t>ABOUT THIS PROSPECTUS SUPPLEMENT</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2">
              <w:r>
                <w:rPr>
                  <w:rStyle w:val="InternetLink"/>
                  <w:rFonts w:ascii="Times New Roman" w:hAnsi="Times New Roman"/>
                  <w:sz w:val="20"/>
                </w:rPr>
                <w:t>CAUTIONARY STATEMENT REGARDING FORWARD-LOOKING STATEMENTS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3">
              <w:r>
                <w:rPr>
                  <w:rStyle w:val="InternetLink"/>
                  <w:rFonts w:ascii="Times New Roman" w:hAnsi="Times New Roman"/>
                  <w:sz w:val="20"/>
                </w:rPr>
                <w:t>PROSPECTUS SUPPLEMENT SUMMARY</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4">
              <w:r>
                <w:rPr>
                  <w:rStyle w:val="InternetLink"/>
                  <w:rFonts w:ascii="Times New Roman" w:hAnsi="Times New Roman"/>
                  <w:sz w:val="20"/>
                </w:rPr>
                <w:t>THE OFFERING</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5">
              <w:r>
                <w:rPr>
                  <w:rStyle w:val="InternetLink"/>
                  <w:rFonts w:ascii="Times New Roman" w:hAnsi="Times New Roman"/>
                  <w:sz w:val="20"/>
                </w:rPr>
                <w:t>RISK FACTORS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6">
              <w:r>
                <w:rPr>
                  <w:rStyle w:val="InternetLink"/>
                  <w:rFonts w:ascii="Times New Roman" w:hAnsi="Times New Roman"/>
                  <w:sz w:val="20"/>
                </w:rPr>
                <w:t>MARKET AND INDUSTRY DATA</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7">
              <w:r>
                <w:rPr>
                  <w:rStyle w:val="InternetLink"/>
                  <w:rFonts w:ascii="Times New Roman" w:hAnsi="Times New Roman"/>
                  <w:sz w:val="20"/>
                </w:rPr>
                <w:t>USE OF PROCEEDS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8">
              <w:r>
                <w:rPr>
                  <w:rStyle w:val="InternetLink"/>
                  <w:rFonts w:ascii="Times New Roman" w:hAnsi="Times New Roman"/>
                  <w:sz w:val="20"/>
                </w:rPr>
                <w:t>DILUTION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9">
              <w:r>
                <w:rPr>
                  <w:rStyle w:val="InternetLink"/>
                  <w:rFonts w:ascii="Times New Roman" w:hAnsi="Times New Roman"/>
                  <w:sz w:val="20"/>
                </w:rPr>
                <w:t>DIVIDEND POLICY</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10">
              <w:r>
                <w:rPr>
                  <w:rStyle w:val="InternetLink"/>
                  <w:rFonts w:ascii="Times New Roman" w:hAnsi="Times New Roman"/>
                  <w:sz w:val="20"/>
                </w:rPr>
                <w:t>UNDERWRITING</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11">
              <w:r>
                <w:rPr>
                  <w:rStyle w:val="InternetLink"/>
                  <w:rFonts w:ascii="Times New Roman" w:hAnsi="Times New Roman"/>
                  <w:sz w:val="20"/>
                </w:rPr>
                <w:t>LEGAL MATTERS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12">
              <w:r>
                <w:rPr>
                  <w:rStyle w:val="InternetLink"/>
                  <w:rFonts w:ascii="Times New Roman" w:hAnsi="Times New Roman"/>
                  <w:sz w:val="20"/>
                </w:rPr>
                <w:t>EXPERTS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13">
              <w:r>
                <w:rPr>
                  <w:rStyle w:val="InternetLink"/>
                  <w:rFonts w:ascii="Times New Roman" w:hAnsi="Times New Roman"/>
                  <w:sz w:val="20"/>
                </w:rPr>
                <w:t>WHERE YOU CAN FIND MORE INFORMATION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c>
          <w:tcPr>
            <w:tcW w:w="9609" w:type="dxa"/>
            <w:tcBorders/>
            <w:vAlign w:val="bottom"/>
          </w:tcPr>
          <w:p>
            <w:pPr>
              <w:pStyle w:val="TableContents"/>
              <w:bidi w:val="0"/>
              <w:spacing w:before="0" w:after="0"/>
              <w:jc w:val="left"/>
              <w:rPr/>
            </w:pPr>
            <w:hyperlink w:anchor="supptoc179208_14">
              <w:r>
                <w:rPr>
                  <w:rStyle w:val="InternetLink"/>
                  <w:rFonts w:ascii="Times New Roman" w:hAnsi="Times New Roman"/>
                  <w:sz w:val="20"/>
                </w:rPr>
                <w:t>INCORPORATION OF CERTAIN INFORMATION BY REFERENCE</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S-29</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9"/>
        <w:gridCol w:w="349"/>
        <w:gridCol w:w="60"/>
        <w:gridCol w:w="265"/>
        <w:gridCol w:w="62"/>
      </w:tblGrid>
      <w:tr>
        <w:trPr/>
        <w:tc>
          <w:tcPr>
            <w:tcW w:w="9469"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9" w:type="dxa"/>
            <w:tcBorders/>
            <w:vAlign w:val="bottom"/>
          </w:tcPr>
          <w:p>
            <w:pPr>
              <w:pStyle w:val="TableContents"/>
              <w:bidi w:val="0"/>
              <w:spacing w:before="0" w:after="0"/>
              <w:jc w:val="left"/>
              <w:rPr/>
            </w:pPr>
            <w:hyperlink w:anchor="toc62329_1">
              <w:r>
                <w:rPr>
                  <w:rStyle w:val="InternetLink"/>
                  <w:rFonts w:ascii="Times New Roman" w:hAnsi="Times New Roman"/>
                  <w:sz w:val="20"/>
                </w:rPr>
                <w:t>About This Prospectus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i</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2">
              <w:r>
                <w:rPr>
                  <w:rStyle w:val="InternetLink"/>
                  <w:rFonts w:ascii="Times New Roman" w:hAnsi="Times New Roman"/>
                  <w:sz w:val="20"/>
                </w:rPr>
                <w:t>Summary</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3">
              <w:r>
                <w:rPr>
                  <w:rStyle w:val="InternetLink"/>
                  <w:rFonts w:ascii="Times New Roman" w:hAnsi="Times New Roman"/>
                  <w:sz w:val="20"/>
                </w:rPr>
                <w:t>Risk Factors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4">
              <w:r>
                <w:rPr>
                  <w:rStyle w:val="InternetLink"/>
                  <w:rFonts w:ascii="Times New Roman" w:hAnsi="Times New Roman"/>
                  <w:sz w:val="20"/>
                </w:rPr>
                <w:t>Use of Proceeds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5">
              <w:r>
                <w:rPr>
                  <w:rStyle w:val="InternetLink"/>
                  <w:rFonts w:ascii="Times New Roman" w:hAnsi="Times New Roman"/>
                  <w:sz w:val="20"/>
                </w:rPr>
                <w:t>Disclosure Regarding Forward-Looking Statements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6">
              <w:r>
                <w:rPr>
                  <w:rStyle w:val="InternetLink"/>
                  <w:rFonts w:ascii="Times New Roman" w:hAnsi="Times New Roman"/>
                  <w:sz w:val="20"/>
                </w:rPr>
                <w:t>Description of Capital Stock</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7">
              <w:r>
                <w:rPr>
                  <w:rStyle w:val="InternetLink"/>
                  <w:rFonts w:ascii="Times New Roman" w:hAnsi="Times New Roman"/>
                  <w:sz w:val="20"/>
                </w:rPr>
                <w:t>Description of Debt Securities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8">
              <w:r>
                <w:rPr>
                  <w:rStyle w:val="InternetLink"/>
                  <w:rFonts w:ascii="Times New Roman" w:hAnsi="Times New Roman"/>
                  <w:sz w:val="20"/>
                </w:rPr>
                <w:t>Description of Warrants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9">
              <w:r>
                <w:rPr>
                  <w:rStyle w:val="InternetLink"/>
                  <w:rFonts w:ascii="Times New Roman" w:hAnsi="Times New Roman"/>
                  <w:sz w:val="20"/>
                </w:rPr>
                <w:t>Description of Rights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10">
              <w:r>
                <w:rPr>
                  <w:rStyle w:val="InternetLink"/>
                  <w:rFonts w:ascii="Times New Roman" w:hAnsi="Times New Roman"/>
                  <w:sz w:val="20"/>
                </w:rPr>
                <w:t>Description of Units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11">
              <w:r>
                <w:rPr>
                  <w:rStyle w:val="InternetLink"/>
                  <w:rFonts w:ascii="Times New Roman" w:hAnsi="Times New Roman"/>
                  <w:sz w:val="20"/>
                </w:rPr>
                <w:t>Legal Ownership of Securities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12">
              <w:r>
                <w:rPr>
                  <w:rStyle w:val="InternetLink"/>
                  <w:rFonts w:ascii="Times New Roman" w:hAnsi="Times New Roman"/>
                  <w:sz w:val="20"/>
                </w:rPr>
                <w:t>Plan of Distribution</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13">
              <w:r>
                <w:rPr>
                  <w:rStyle w:val="InternetLink"/>
                  <w:rFonts w:ascii="Times New Roman" w:hAnsi="Times New Roman"/>
                  <w:sz w:val="20"/>
                </w:rPr>
                <w:t>Legal Matters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14">
              <w:r>
                <w:rPr>
                  <w:rStyle w:val="InternetLink"/>
                  <w:rFonts w:ascii="Times New Roman" w:hAnsi="Times New Roman"/>
                  <w:sz w:val="20"/>
                </w:rPr>
                <w:t>Experts</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15">
              <w:r>
                <w:rPr>
                  <w:rStyle w:val="InternetLink"/>
                  <w:rFonts w:ascii="Times New Roman" w:hAnsi="Times New Roman"/>
                  <w:sz w:val="20"/>
                </w:rPr>
                <w:t>Where You Can Find More Information</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469" w:type="dxa"/>
            <w:tcBorders/>
            <w:vAlign w:val="bottom"/>
          </w:tcPr>
          <w:p>
            <w:pPr>
              <w:pStyle w:val="TableContents"/>
              <w:bidi w:val="0"/>
              <w:spacing w:before="0" w:after="0"/>
              <w:jc w:val="left"/>
              <w:rPr/>
            </w:pPr>
            <w:hyperlink w:anchor="toc62329_16">
              <w:r>
                <w:rPr>
                  <w:rStyle w:val="InternetLink"/>
                  <w:rFonts w:ascii="Times New Roman" w:hAnsi="Times New Roman"/>
                  <w:sz w:val="20"/>
                </w:rPr>
                <w:t>Important Information Incorporated by Reference</w:t>
              </w:r>
            </w:hyperlink>
          </w:p>
        </w:tc>
        <w:tc>
          <w:tcPr>
            <w:tcW w:w="3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179208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on Form S-3 that we filed with the U.S. Securities and Exchange Commission (“SEC”), utilizing a “shelf” registration process. Under this shelf registration process, we may sell any combination of the securities described in our base prospectus included in the shelf registration statement in one or more offerings up to a total aggregate offering price of $225,000,000. </w:t>
      </w:r>
    </w:p>
    <w:p>
      <w:pPr>
        <w:pStyle w:val="TextBody"/>
        <w:bidi w:val="0"/>
        <w:spacing w:before="240" w:after="0"/>
        <w:jc w:val="left"/>
        <w:rPr>
          <w:rFonts w:ascii="Times New Roman" w:hAnsi="Times New Roman"/>
          <w:sz w:val="20"/>
        </w:rPr>
      </w:pPr>
      <w:r>
        <w:rPr>
          <w:rFonts w:ascii="Times New Roman" w:hAnsi="Times New Roman"/>
          <w:sz w:val="20"/>
        </w:rPr>
        <w:t xml:space="preserve">We provide information to you about this offering of shares of our common stock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dates.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the underwriters have not, authorized anyone to provide any information other than that contained in or incorporated by reference in this prospectus supplement, the accompanying prospectus and any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into this prospectus supplement, the accompanying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supplement entitled “Where You Can Find More Information” and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shares of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into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requires otherwise, references in this prospectus to “Teknova,” “the Company,” “we,” “us” and “our” refer to Alpha Teknova, Inc. General information about us can be found on our website at </w:t>
      </w:r>
      <w:r>
        <w:rPr>
          <w:rFonts w:ascii="Times New Roman" w:hAnsi="Times New Roman"/>
          <w:i/>
          <w:sz w:val="20"/>
        </w:rPr>
        <w:t>www.teknova.com</w:t>
      </w:r>
      <w:r>
        <w:rPr>
          <w:rFonts w:ascii="Times New Roman" w:hAnsi="Times New Roman"/>
          <w:sz w:val="20"/>
        </w:rPr>
        <w:t xml:space="preserve">. The information on our website is for informational purposes only and should not be relied on for investment purposes. The information on our website is not incorporated by reference into this prospectus supplement and should not be considered part of this or any other report filed with the SEC. We have included our website address in this prospectus supplement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oc179208_2"/>
      <w:bookmarkEnd w:id="4"/>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herein and therein by reference, together with other statements and information publicly disseminated by us, contain certain forward-looking statements within the meaning of Section 27A of the Securities Act of 1933, as amended (the “Securities Act”), and Section 21E of the Securities Exchange Act of 1934, as amended (the “Exchange Act”), that are subject to risks and uncertainties. We intend for such forward-looking statements to be covered by the safe harbor provisions for forward-looking statements contained in the Private Securities Litigation Reform Act of 1995 and include this statement for purposes of complying with these safe harbor provisions. These forward-looking statements include information about possible, estimated or assumed future results of our business, financial condition, liquidity, results of operations, plans and objectives. Forward-looking statements are generally identifiable by use of forward-looking terminology such as “may,” “will,” “would,” “should,” “potential,” “intend,” “expect,” “anticipate,” “estimate,” “approximately,” “believe,” “could,” “project,” “continue,” “plan,” “future,” “likely,” “predict,” “assume,” “objectives,” “seeks,” “if,” “might,” “can,” or other similar words or expressions. </w:t>
      </w:r>
    </w:p>
    <w:p>
      <w:pPr>
        <w:pStyle w:val="TextBody"/>
        <w:bidi w:val="0"/>
        <w:spacing w:before="240" w:after="0"/>
        <w:jc w:val="left"/>
        <w:rPr>
          <w:rFonts w:ascii="Times New Roman" w:hAnsi="Times New Roman"/>
          <w:sz w:val="20"/>
        </w:rPr>
      </w:pPr>
      <w:r>
        <w:rPr>
          <w:rFonts w:ascii="Times New Roman" w:hAnsi="Times New Roman"/>
          <w:sz w:val="20"/>
        </w:rPr>
        <w:t xml:space="preserve">Such forward-looking statements are based on our beliefs, assumptions, and expectations of our future performance taking into account all information currently known to us. These beliefs, assumptions, and expectations can change as a result of many potential events or factors, not all of which are known to us. We caution our stockholders and other readers not to place undue reliance on such statements. If a change occurs, our business, financial condition, liquidity, results of operations, plans, and other objectives may vary materially from those expressed in our forward-looking statements. You should carefully consider this risk when you make an investment decision concerning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statements in this prospectus supplement, or incorporated herein by reference, about our expectations, beliefs, plans, objectives, assumptions or future events or performance are not historical facts and are forward-looking statements. These statements are subject to known and unknown risks, uncertainties and assumptions that could cause actual results to differ materially from those projected or otherwise implied by the forward-looking statements,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market or business conditions as well as those in the specific industry and markets in which our business operates which may impact customer demand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meet our publicly announced guidance or other expectations about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financial performance, including our revenue, costs of revenue, and operating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expand our operations and increase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uses of cash in the short and long terms and the sufficiency of our sources of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defend against claims and mitigate adverse results from any legal proceedings against us and the merits of any claims or suits against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recent history of losses and our 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limit our accounts receivable and credit risk exposure;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investments, if any, in additional facilities to facilitate our expected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uses of capital to pursue potential acquisitions, if any, that further or accelerate our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use of equity or debt financings to execute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take advantage of certain exemptions from various reporting requirements generally applicable to public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period during which we qualify as an emerging growth company under the Jumpstart Our Business Startups Act of 2012 (the “JOBS Act”), and the impact of the anticipated loss of emerging growth company status as of the end of the fiscal year ending December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pandemic, epidemic, or outbreak of infectious disease, natural disasters, geopolitical unrest, war, terrorism, public health issues or other catastrophic events may have on our business and our ability to actively manage our response to these types of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adoption of critical accounting policies and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the scale and capacity of, or otherwise effectively adjust, our manufacturing processes and systems in response to market demands;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increased competition from additional companies entering the market and the availability of more advanced technologies in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 of artificial intelligence or other, related emerging technologies in various facets of our business, including our quality systems, customer-facing activities, root cause analysis, and complaint investigations, and the potential for such technologies to exacerbate competitive, operational, regulatory, legal, cybersecurity, intellectual property, compliance, and other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hire and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capital on favorable terms,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future revenue growth from products targeting emerging therapeutic and diagnostic modalities;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increased costs on our operations, including materials, labor, inflation, and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use cash on hand to meet current and future financial obligations, including funding our operations, debt service requirements, and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enforceability of our exclusive forum provisions in our amended and restated certificate of incorporation;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customers’ sensitivity to product nonconformances, defects, and errors;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exemption of our products from compliance with the U.S. Food, Drug and Cosmetic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secure and maintain a stable supply of raw materials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 corporate culture that contributes to our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marketability of our products across a wide range of markets and the probability of success or revenue opportunity in our target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(U.S.)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revenue recognition rules and other factors on our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and enforce intellectual property protection for our current and future products, including our ability to protect our trade secrets, trademarks, and trade names;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ongoing expenses associated with being a public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use of proceeds of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accompanying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contained in any forward-looking statements. Such risks, uncertainties and other factors that could cause actual results and experience to differ from those projected include, but are not limited to, the matters summarized under “Risk Factors” and elsewhere in this prospectus supplement, the accompanying prospectus and in the documents incorporated by reference herein and therein.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appearing in this prospectus supplement is accurate only as of the date on the front of the document and any information we have incorporated by reference is accurate only as of the date of the document incorporated by reference, regardless of the time of delivery of this prospectus supplement, or any sale of a security. Our business, financial condition, results of operations and prospects may have changed since those dates.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All written or oral forward-looking statements attributable to us or any person acting on our behalf made after the date of this prospectus supplement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supplement or to reflect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oc179208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contains basic information about us and this offering. This summary highlights selected information contained elsewhere in, or incorporated by reference into, this prospectus supplement. This summary is not complete and may not contain all of the information that may be important to you and that you should consider before deciding whether or not to invest in our securities. For a more complete understanding of Teknova and this offering, you should carefully read this prospectus supplement, including the information incorporated by reference into this prospectus supplement, in its entirety. Investing in our securities involves risks that are described in this prospectus supplement under the heading “Risk Factors,” under the heading “Item 1A. Risk Factors” in our Annual Report on Form 10-K for the year ended December 31, 2025, “Item 1A. Risk Factors” in our Quarterly Reports on Form 10-Q for the quarters ended March 31, 2026 and June 30, 2026, and in our other filings with the SEC.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producer of critical reagents for the discovery, development, and commercialization of novel therapies, vaccines, and molecular diagnostics. Our more than 3,000 customers span the continuum of the life sciences market and include leading pharmaceutical and biotechnology companies, contract development and manufacturing organizations, </w:t>
      </w:r>
      <w:r>
        <w:rPr>
          <w:rFonts w:ascii="Times New Roman" w:hAnsi="Times New Roman"/>
          <w:i/>
          <w:sz w:val="20"/>
          <w:bdr w:val="single" w:sz="8" w:space="1" w:color="000000"/>
        </w:rPr>
        <w:t>in</w:t>
      </w:r>
      <w:r>
        <w:rPr>
          <w:rFonts w:ascii="Times New Roman" w:hAnsi="Times New Roman"/>
          <w:sz w:val="20"/>
          <w:bdr w:val="single" w:sz="8" w:space="1" w:color="000000"/>
        </w:rPr>
        <w:t xml:space="preserve"> </w:t>
      </w:r>
      <w:r>
        <w:rPr>
          <w:rFonts w:ascii="Times New Roman" w:hAnsi="Times New Roman"/>
          <w:i/>
          <w:sz w:val="20"/>
          <w:bdr w:val="single" w:sz="8" w:space="1" w:color="000000"/>
        </w:rPr>
        <w:t>vitro</w:t>
      </w:r>
      <w:r>
        <w:rPr>
          <w:rFonts w:ascii="Times New Roman" w:hAnsi="Times New Roman"/>
          <w:sz w:val="20"/>
          <w:bdr w:val="single" w:sz="8" w:space="1" w:color="000000"/>
        </w:rPr>
        <w:t xml:space="preserve"> diagnostics franchises, and academic and government research institutions. Our Company is built around our knowledge, methods, and know-how in our manufacturing processes and infrastructure, which are highly adaptable and configurable. These proprietary processes enable us to manufacture and deliver high-quality, custom, made-to-order products with short turnaround times and at scale, across all stages of our customers’ product development, including commercialization.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substantial expertise in manufacturing customer-specified formulations and have demonstrated the ability to manufacture and deliver our products to customers quickly. Due to our expertise in raw materials sourcing, chemical formulation, and quality control, developed over more than two decades, we are typically able to move a new custom product into production in a matter of weeks from order receipt. This can allow our customers to receive their products in weeks as compared to months from alternative suppliers operating in traditional production environments. Our processes are designed to handle a diverse array of customer-requested inputs, which may vary by volume, chemical formulation, quality specifications, container types, and transportation requirements, enabling broad use of our products across the life sciences market. Our proprietary capabilities and products underpin the value we provide to customers across their product development and commercialization activities and allow us to scale with our clients as they grow, supporting their need for materials in greater volumes and that meet increasingly stringent regulatory requirements.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offer three primary product types: pre-poured media plates for cell growth and cloning; liquid microbial culture media and supplements for cellular expansion; and molecular biology reagents for sample manipulation, resuspension, and purification. We typically begin working with customers in the discovery phase of development, in which they use our off-the-shelf (catalog) formulations for initial experimentation. As customers’ product development progresses and they begin to need products with improved performance, in greater volumes, or that meet good manufacturing practice (“GMP”) requirements (see below), they routinely go on to order higher value, custom, or GMP-grade products. We believe the bespoke nature of our portfolio makes us a critical, trusted supplier to our customers.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Due to extensive validation and customer loyalty owing, in part, to fast turnaround times for our custom products, our customers frequently integrate them as components into the lifecycle of their own products and, we believe, are therefore unlikely to substitute Teknova’s components with alternatives. As a result, our customer relationships typically span many years and help drive recurring business. Moreover, we are committed to delivering high levels of customer satisfaction through continued investment in our customer service, operating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infrastructure, quality systems, and manufacturing processes. During 2025, we achieved an annual customer retention rate of approximately 95% for customers purchasing more than $10,000 annually, which represented approximately 15% of our customer base and approximately 85% of our annual revenue during that period. We believe the Teknova brand is well established in the U.S. life sciences industry as a result of our track record of delivering high-quality, custom products and providing superior customer service.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participate in multiple markets because customers use our products across the life sciences industry, including in high growth areas like cell and gene therapy research, development, and production. Over time, the U.S. Food and Drug Administration has approved a number of cell and gene therapies in the U.S. as has the European Union (“EU”) according to reports from the Alliance for Regenerative Medicine. The cell and gene therapy sector continued to see regulatory approvals throughout 2025 both in the U.S. and EU, supported by a robust pipeline of companies expected to submit regulatory applications in 2026, as reported by the Alliance for Regenerative Medicine.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our prospects for growth will also benefit from developments in other fields, including mRNA vaccines, liquid biopsy and genomics. We believe the key industry factors that will drive our future growth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for custom reagents for purification in the development of emerging therapeutic modalities such as cell and gene therapies, mRNA, and next-generation antibodies, such as antibody drug conjugates, and multi-specific antibodies;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growing demand for a single, adaptable, end-to-end provider that can offer both “research use only” (“RUO”) as well as GMP-grade, custom, made-to-order products with short turnaround times;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importance of GMP-grade products in a development and manufacturing process that is subject to complex and stringent regulatory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suppliers capable of quickly scaling production volumes up and down in response to customer needs;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increasing demand to move to single-use bioreactors, which results in increased use of build sizes less than 2,000 liters.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nature of many of our products and their uses requires that they be manufactured by highly skilled personnel in contamination-controlled environments, following exacting procedures to ensure quality. We manufacture our products at our facilities in Hollister, California, which were purpose-built to address our customers’ needs for custom-made, RUO, or GMP-grade input components.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 complete description of our business, financial condition, results of operations and other important information, we refer you to our filings with the SEC that are incorporated by reference in this prospectus, including our Annual Report on Form 10-K for the year ended December 31, 2025 and our Quarterly Reports on Form 10-Q for the quarters ended March 31, 2026 and June 30, 2026, as amended, supplemented or superseded from time to time by other reports we file with the SEC in the future, which are incorporated by reference into this prospectus supplement. For instructions on how to find copies of these documents, see “Where You Can Find More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the section entitled “Risk Factors” in this prospectus supplement for a discussion of some of the risks relating to the execution of our business strategy.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Preliminary Unaudited Third Quarter 2026 Financial Results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Set forth below are certain preliminary unaudited financial results for the three months ended September 30, 2026 and as of September 30, 2026: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three months ended September 30, 2026 is estimated to be within the range of $12.5 million and $12.7 million.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margin for the three months ended September 30, 2026 is estimated to be within the range of 36.0% and 38.0%.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for the three months ended September 30, 2026 is estimated to be within the range of (negative $1.2 million and negative $1.0 million).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and short term investments as of September 30, 2026 is estimated to be $16.6 million.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Company’s total revenue is estimated to be up 19% to 21% compared to the same period in the prior year. The Company’s gross margin is estimated to have expanded by 500 to 700 basis points compared to the same period in the prior year, driven primarily by top-line growth. The Company’s estimated Adjusted EBITDA would represent an at least 25% improvement compared to the same period in the prior year, driven by continued cost discipline.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Company’s financial statements for the three months and nine months ended September 30, 2026 are not yet available. Accordingly, the information presented above reflects the Company’s preliminary estimates subject to the completion of the Company’s financial closing procedures and any adjustments that may result from the completion of the quarterly review of the Company’s financial statements. As a result, these preliminary estimates may differ from the actual results that will be reflected in the Company’s financial statements for the quarter when they are completed and publicly disclosed. These preliminary estimates may change and those changes may be material.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Company’s expectations with respect to its unaudited results for the periods discussed above are based upon management estimates and are the responsibility of management. The Company’s independent registered public accounting firm has not audited, reviewed, or performed any procedures with respect to these preliminary results and, accordingly, does not express an opinion or any other form of assurance about them.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Reconciliation of Non-GAAP Financial Measures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Adjusted EBITDA is a non-GAAP financial measure that is not prepared in accordance with GAAP and that may be different from non-GAAP financial measures used by other companies. Our management believes that the use of this non-GAAP financial measure provides an additional tool for investors to use in evaluating ongoing operating results and trends of the Company. This non-GAAP financial measure should not be considered in isolation from, or as an alternative to, financial measures determined in accordance with GAAP. Adjusted EBITDA is a non-GAAP financial measure equal to net loss, the most directly comparable financial measure based on GAAP, excluding interest expense, income tax expense, depreciation and amortization, and stock-based compensation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is a reconciliation of net income, the most directly comparable GAAP financial measure to Adjusted EBITDA: </w:t>
      </w:r>
    </w:p>
    <w:tbl>
      <w:tblPr>
        <w:tblW w:w="5000" w:type="pct"/>
        <w:jc w:val="center"/>
        <w:tblInd w:w="0" w:type="dxa"/>
        <w:tblLayout w:type="fixed"/>
        <w:tblCellMar>
          <w:top w:w="0" w:type="dxa"/>
          <w:left w:w="0" w:type="dxa"/>
          <w:bottom w:w="0" w:type="dxa"/>
          <w:right w:w="0" w:type="dxa"/>
        </w:tblCellMar>
      </w:tblPr>
      <w:tblGrid>
        <w:gridCol w:w="6623"/>
        <w:gridCol w:w="120"/>
        <w:gridCol w:w="3462"/>
      </w:tblGrid>
      <w:tr>
        <w:trPr/>
        <w:tc>
          <w:tcPr>
            <w:tcW w:w="66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62" w:type="dxa"/>
            <w:tcBorders/>
            <w:vAlign w:val="center"/>
          </w:tcPr>
          <w:p>
            <w:pPr>
              <w:pStyle w:val="TableContents"/>
              <w:bidi w:val="0"/>
              <w:spacing w:before="0" w:after="283"/>
              <w:jc w:val="left"/>
              <w:rPr>
                <w:sz w:val="4"/>
                <w:szCs w:val="4"/>
              </w:rPr>
            </w:pPr>
            <w:r>
              <w:rPr>
                <w:sz w:val="4"/>
                <w:szCs w:val="4"/>
              </w:rPr>
            </w:r>
          </w:p>
        </w:tc>
      </w:tr>
      <w:tr>
        <w:trPr/>
        <w:tc>
          <w:tcPr>
            <w:tcW w:w="6623"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 in thousands)</w:t>
            </w:r>
          </w:p>
        </w:tc>
        <w:tc>
          <w:tcPr>
            <w:tcW w:w="120" w:type="dxa"/>
            <w:tcBorders/>
            <w:vAlign w:val="bottom"/>
          </w:tcPr>
          <w:p>
            <w:pPr>
              <w:pStyle w:val="TableContents"/>
              <w:bidi w:val="0"/>
              <w:spacing w:before="0" w:after="283"/>
              <w:jc w:val="left"/>
              <w:rPr/>
            </w:pPr>
            <w:r>
              <w:rPr/>
              <w:t>  </w:t>
            </w:r>
          </w:p>
        </w:tc>
        <w:tc>
          <w:tcPr>
            <w:tcW w:w="346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i/>
                <w:sz w:val="16"/>
              </w:rPr>
            </w:pPr>
            <w:r>
              <w:rPr>
                <w:rFonts w:ascii="Times New Roman" w:hAnsi="Times New Roman"/>
                <w:b/>
                <w:i/>
                <w:sz w:val="16"/>
              </w:rPr>
              <w:t>Three Months Ended September 30, 2026</w:t>
            </w:r>
          </w:p>
          <w:p>
            <w:pPr>
              <w:pStyle w:val="TableContents"/>
              <w:bidi w:val="0"/>
              <w:spacing w:before="0" w:after="20"/>
              <w:jc w:val="center"/>
              <w:rPr>
                <w:rFonts w:ascii="Times New Roman" w:hAnsi="Times New Roman"/>
                <w:b/>
                <w:i/>
                <w:sz w:val="16"/>
              </w:rPr>
            </w:pPr>
            <w:r>
              <w:rPr>
                <w:rFonts w:ascii="Times New Roman" w:hAnsi="Times New Roman"/>
                <w:b/>
                <w:i/>
                <w:sz w:val="16"/>
              </w:rPr>
              <w:t>(Estimated)</w:t>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bottom"/>
          </w:tcPr>
          <w:p>
            <w:pPr>
              <w:pStyle w:val="TableContents"/>
              <w:bidi w:val="0"/>
              <w:spacing w:before="0" w:after="283"/>
              <w:jc w:val="left"/>
              <w:rPr/>
            </w:pPr>
            <w:r>
              <w:rPr/>
              <w:t>  </w:t>
            </w:r>
          </w:p>
        </w:tc>
        <w:tc>
          <w:tcPr>
            <w:tcW w:w="3462" w:type="dxa"/>
            <w:tcBorders/>
            <w:shd w:fill="CCEEFF" w:val="clear"/>
            <w:vAlign w:val="bottom"/>
          </w:tcPr>
          <w:p>
            <w:pPr>
              <w:pStyle w:val="TableContents"/>
              <w:bidi w:val="0"/>
              <w:spacing w:before="0" w:after="283"/>
              <w:jc w:val="right"/>
              <w:rPr/>
            </w:pPr>
            <w:r>
              <w:rPr/>
              <w:t>$(3,694) - $(3,494)</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Add back:</w:t>
            </w:r>
          </w:p>
        </w:tc>
        <w:tc>
          <w:tcPr>
            <w:tcW w:w="120" w:type="dxa"/>
            <w:tcBorders/>
            <w:vAlign w:val="bottom"/>
          </w:tcPr>
          <w:p>
            <w:pPr>
              <w:pStyle w:val="TableContents"/>
              <w:bidi w:val="0"/>
              <w:spacing w:before="0" w:after="283"/>
              <w:jc w:val="left"/>
              <w:rPr/>
            </w:pPr>
            <w:r>
              <w:rPr/>
              <w:t>  </w:t>
            </w:r>
          </w:p>
        </w:tc>
        <w:tc>
          <w:tcPr>
            <w:tcW w:w="3462" w:type="dxa"/>
            <w:tcBorders/>
            <w:vAlign w:val="bottom"/>
          </w:tcPr>
          <w:p>
            <w:pPr>
              <w:pStyle w:val="TableContents"/>
              <w:bidi w:val="0"/>
              <w:spacing w:before="0" w:after="283"/>
              <w:jc w:val="left"/>
              <w:rPr>
                <w:sz w:val="4"/>
                <w:szCs w:val="4"/>
              </w:rPr>
            </w:pPr>
            <w:r>
              <w:rPr>
                <w:sz w:val="4"/>
                <w:szCs w:val="4"/>
              </w:rPr>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20" w:type="dxa"/>
            <w:tcBorders/>
            <w:shd w:fill="CCEEFF" w:val="clear"/>
            <w:vAlign w:val="bottom"/>
          </w:tcPr>
          <w:p>
            <w:pPr>
              <w:pStyle w:val="TableContents"/>
              <w:bidi w:val="0"/>
              <w:spacing w:before="0" w:after="283"/>
              <w:jc w:val="left"/>
              <w:rPr/>
            </w:pPr>
            <w:r>
              <w:rPr/>
              <w:t>  </w:t>
            </w:r>
          </w:p>
        </w:tc>
        <w:tc>
          <w:tcPr>
            <w:tcW w:w="3462" w:type="dxa"/>
            <w:tcBorders/>
            <w:shd w:fill="CCEEFF" w:val="clear"/>
            <w:vAlign w:val="bottom"/>
          </w:tcPr>
          <w:p>
            <w:pPr>
              <w:pStyle w:val="TableContents"/>
              <w:bidi w:val="0"/>
              <w:spacing w:before="0" w:after="283"/>
              <w:jc w:val="right"/>
              <w:rPr/>
            </w:pPr>
            <w:r>
              <w:rPr/>
              <w:t>(259)</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bottom"/>
          </w:tcPr>
          <w:p>
            <w:pPr>
              <w:pStyle w:val="TableContents"/>
              <w:bidi w:val="0"/>
              <w:spacing w:before="0" w:after="283"/>
              <w:jc w:val="left"/>
              <w:rPr/>
            </w:pPr>
            <w:r>
              <w:rPr/>
              <w:t>  </w:t>
            </w:r>
          </w:p>
        </w:tc>
        <w:tc>
          <w:tcPr>
            <w:tcW w:w="3462" w:type="dxa"/>
            <w:tcBorders/>
            <w:vAlign w:val="bottom"/>
          </w:tcPr>
          <w:p>
            <w:pPr>
              <w:pStyle w:val="TableContents"/>
              <w:bidi w:val="0"/>
              <w:spacing w:before="0" w:after="283"/>
              <w:jc w:val="right"/>
              <w:rPr/>
            </w:pPr>
            <w:r>
              <w:rPr/>
              <w:t>34 </w:t>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120" w:type="dxa"/>
            <w:tcBorders/>
            <w:shd w:fill="CCEEFF" w:val="clear"/>
            <w:vAlign w:val="bottom"/>
          </w:tcPr>
          <w:p>
            <w:pPr>
              <w:pStyle w:val="TableContents"/>
              <w:bidi w:val="0"/>
              <w:spacing w:before="0" w:after="283"/>
              <w:jc w:val="left"/>
              <w:rPr/>
            </w:pPr>
            <w:r>
              <w:rPr/>
              <w:t>  </w:t>
            </w:r>
          </w:p>
        </w:tc>
        <w:tc>
          <w:tcPr>
            <w:tcW w:w="3462" w:type="dxa"/>
            <w:tcBorders/>
            <w:shd w:fill="CCEEFF" w:val="clear"/>
            <w:vAlign w:val="bottom"/>
          </w:tcPr>
          <w:p>
            <w:pPr>
              <w:pStyle w:val="TableContents"/>
              <w:bidi w:val="0"/>
              <w:spacing w:before="0" w:after="283"/>
              <w:jc w:val="right"/>
              <w:rPr/>
            </w:pPr>
            <w:r>
              <w:rPr/>
              <w:t>1,302 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120" w:type="dxa"/>
            <w:tcBorders/>
            <w:vAlign w:val="bottom"/>
          </w:tcPr>
          <w:p>
            <w:pPr>
              <w:pStyle w:val="TableContents"/>
              <w:bidi w:val="0"/>
              <w:spacing w:before="0" w:after="283"/>
              <w:jc w:val="left"/>
              <w:rPr/>
            </w:pPr>
            <w:r>
              <w:rPr/>
              <w:t>  </w:t>
            </w:r>
          </w:p>
        </w:tc>
        <w:tc>
          <w:tcPr>
            <w:tcW w:w="3462" w:type="dxa"/>
            <w:tcBorders/>
            <w:vAlign w:val="bottom"/>
          </w:tcPr>
          <w:p>
            <w:pPr>
              <w:pStyle w:val="TableContents"/>
              <w:bidi w:val="0"/>
              <w:spacing w:before="0" w:after="283"/>
              <w:jc w:val="right"/>
              <w:rPr/>
            </w:pPr>
            <w:r>
              <w:rPr/>
              <w:t>287 </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62" w:type="dxa"/>
            <w:tcBorders/>
            <w:vAlign w:val="bottom"/>
          </w:tcPr>
          <w:p>
            <w:pPr>
              <w:pStyle w:val="TableContents"/>
              <w:pBdr>
                <w:top w:val="single" w:sz="2" w:space="1" w:color="000000"/>
              </w:pBdr>
              <w:bidi w:val="0"/>
              <w:spacing w:before="0" w:after="0"/>
              <w:jc w:val="left"/>
              <w:rPr/>
            </w:pPr>
            <w:r>
              <w:rPr/>
              <w:t> </w:t>
            </w:r>
          </w:p>
        </w:tc>
      </w:tr>
      <w:tr>
        <w:trPr/>
        <w:tc>
          <w:tcPr>
            <w:tcW w:w="662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EBITDA</w:t>
            </w:r>
          </w:p>
        </w:tc>
        <w:tc>
          <w:tcPr>
            <w:tcW w:w="120" w:type="dxa"/>
            <w:tcBorders/>
            <w:shd w:fill="CCEEFF" w:val="clear"/>
            <w:vAlign w:val="bottom"/>
          </w:tcPr>
          <w:p>
            <w:pPr>
              <w:pStyle w:val="TableContents"/>
              <w:bidi w:val="0"/>
              <w:spacing w:before="0" w:after="283"/>
              <w:jc w:val="left"/>
              <w:rPr/>
            </w:pPr>
            <w:r>
              <w:rPr/>
              <w:t>  </w:t>
            </w:r>
          </w:p>
        </w:tc>
        <w:tc>
          <w:tcPr>
            <w:tcW w:w="3462" w:type="dxa"/>
            <w:tcBorders/>
            <w:shd w:fill="CCEEFF" w:val="clear"/>
            <w:vAlign w:val="bottom"/>
          </w:tcPr>
          <w:p>
            <w:pPr>
              <w:pStyle w:val="TableContents"/>
              <w:bidi w:val="0"/>
              <w:spacing w:before="0" w:after="283"/>
              <w:jc w:val="right"/>
              <w:rPr/>
            </w:pPr>
            <w:r>
              <w:rPr/>
              <w:t>$(1,812) - $(1,612)</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62" w:type="dxa"/>
            <w:tcBorders/>
            <w:vAlign w:val="bottom"/>
          </w:tcPr>
          <w:p>
            <w:pPr>
              <w:pStyle w:val="TableContents"/>
              <w:pBdr>
                <w:top w:val="single" w:sz="2" w:space="1" w:color="000000"/>
              </w:pBdr>
              <w:bidi w:val="0"/>
              <w:spacing w:before="0" w:after="0"/>
              <w:jc w:val="left"/>
              <w:rPr/>
            </w:pPr>
            <w:r>
              <w:rPr/>
              <w:t>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Other and non-recurring expenses:</w:t>
            </w:r>
          </w:p>
        </w:tc>
        <w:tc>
          <w:tcPr>
            <w:tcW w:w="120" w:type="dxa"/>
            <w:tcBorders/>
            <w:vAlign w:val="bottom"/>
          </w:tcPr>
          <w:p>
            <w:pPr>
              <w:pStyle w:val="TableContents"/>
              <w:bidi w:val="0"/>
              <w:spacing w:before="0" w:after="283"/>
              <w:jc w:val="left"/>
              <w:rPr/>
            </w:pPr>
            <w:r>
              <w:rPr/>
              <w:t>  </w:t>
            </w:r>
          </w:p>
        </w:tc>
        <w:tc>
          <w:tcPr>
            <w:tcW w:w="3462" w:type="dxa"/>
            <w:tcBorders/>
            <w:vAlign w:val="bottom"/>
          </w:tcPr>
          <w:p>
            <w:pPr>
              <w:pStyle w:val="TableContents"/>
              <w:bidi w:val="0"/>
              <w:spacing w:before="0" w:after="283"/>
              <w:jc w:val="left"/>
              <w:rPr>
                <w:sz w:val="4"/>
                <w:szCs w:val="4"/>
              </w:rPr>
            </w:pPr>
            <w:r>
              <w:rPr>
                <w:sz w:val="4"/>
                <w:szCs w:val="4"/>
              </w:rPr>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bottom"/>
          </w:tcPr>
          <w:p>
            <w:pPr>
              <w:pStyle w:val="TableContents"/>
              <w:bidi w:val="0"/>
              <w:spacing w:before="0" w:after="283"/>
              <w:jc w:val="left"/>
              <w:rPr/>
            </w:pPr>
            <w:r>
              <w:rPr/>
              <w:t>  </w:t>
            </w:r>
          </w:p>
        </w:tc>
        <w:tc>
          <w:tcPr>
            <w:tcW w:w="3462" w:type="dxa"/>
            <w:tcBorders/>
            <w:shd w:fill="CCEEFF" w:val="clear"/>
            <w:vAlign w:val="bottom"/>
          </w:tcPr>
          <w:p>
            <w:pPr>
              <w:pStyle w:val="TableContents"/>
              <w:bidi w:val="0"/>
              <w:spacing w:before="0" w:after="283"/>
              <w:jc w:val="right"/>
              <w:rPr/>
            </w:pPr>
            <w:r>
              <w:rPr/>
              <w:t>612 </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62" w:type="dxa"/>
            <w:tcBorders/>
            <w:vAlign w:val="bottom"/>
          </w:tcPr>
          <w:p>
            <w:pPr>
              <w:pStyle w:val="TableContents"/>
              <w:pBdr>
                <w:top w:val="single" w:sz="2" w:space="1" w:color="000000"/>
              </w:pBdr>
              <w:bidi w:val="0"/>
              <w:spacing w:before="0" w:after="0"/>
              <w:jc w:val="left"/>
              <w:rPr/>
            </w:pPr>
            <w:r>
              <w:rPr/>
              <w:t> </w:t>
            </w:r>
          </w:p>
        </w:tc>
      </w:tr>
      <w:tr>
        <w:trPr/>
        <w:tc>
          <w:tcPr>
            <w:tcW w:w="662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20" w:type="dxa"/>
            <w:tcBorders/>
            <w:vAlign w:val="bottom"/>
          </w:tcPr>
          <w:p>
            <w:pPr>
              <w:pStyle w:val="TableContents"/>
              <w:bidi w:val="0"/>
              <w:spacing w:before="0" w:after="283"/>
              <w:jc w:val="left"/>
              <w:rPr/>
            </w:pPr>
            <w:r>
              <w:rPr/>
              <w:t>  </w:t>
            </w:r>
          </w:p>
        </w:tc>
        <w:tc>
          <w:tcPr>
            <w:tcW w:w="3462" w:type="dxa"/>
            <w:tcBorders/>
            <w:vAlign w:val="bottom"/>
          </w:tcPr>
          <w:p>
            <w:pPr>
              <w:pStyle w:val="TableContents"/>
              <w:bidi w:val="0"/>
              <w:spacing w:before="0" w:after="283"/>
              <w:jc w:val="right"/>
              <w:rPr/>
            </w:pPr>
            <w:r>
              <w:rPr/>
              <w:t>$(1,200) - $(1,000)</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62"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was founded in 1996 and initially incorporated in California on May 30, 2000, under the name “eTeknova, Inc.” On January 11, 2019, the Company filed a certificate of merger and merged with and into Alpha Teknova, Inc., a Delaware corporation, which continued as the surviving entity bearing the corporate name of “Alpha Teknova,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2021, we completed the initial public offering of our common stock. Our common stock trades on the Nasdaq Global Market under the symbol “TKNO”. Telegraph Hill Partners Management Company LLC, through its affiliates Telegraph Hill Partners IV, L.P., THP IV Affiliates Fund, LLC, Telegraph Hill Partners V, L.P., and THP V Affiliates Fund, LLC, continues to be our controlling stockholder.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Principal Executive Offices and Additional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2451 Bert Dr., Hollister, California 95023. Our telephone number is (831) 637-1100. Our website address is </w:t>
      </w:r>
      <w:r>
        <w:rPr>
          <w:rFonts w:ascii="Times New Roman" w:hAnsi="Times New Roman"/>
          <w:i/>
          <w:sz w:val="20"/>
          <w:bdr w:val="single" w:sz="8" w:space="1" w:color="000000"/>
        </w:rPr>
        <w:t>www.teknova.com</w:t>
      </w:r>
      <w:r>
        <w:rPr>
          <w:rFonts w:ascii="Times New Roman" w:hAnsi="Times New Roman"/>
          <w:sz w:val="20"/>
          <w:bdr w:val="single" w:sz="8" w:space="1" w:color="000000"/>
        </w:rPr>
        <w:t xml:space="preserve">. Any information contained on, or that can be accessed through, our website is not incorporated by reference into nor is it in any way part of this prospectus and should not be relied upon in connection with making any decision with respect to an investment in our securities. We are required to file annual, quarterly and current reports, proxy statements and other information with the SEC. You may obtain any of the documents filed by us with the SEC at no cost from the SEC’s website at </w:t>
      </w:r>
      <w:r>
        <w:rPr>
          <w:rFonts w:ascii="Times New Roman" w:hAnsi="Times New Roman"/>
          <w:i/>
          <w:sz w:val="20"/>
          <w:bdr w:val="single" w:sz="8" w:space="1" w:color="000000"/>
        </w:rPr>
        <w:t>http://www.sec.gov</w:t>
      </w:r>
      <w:r>
        <w:rPr>
          <w:rFonts w:ascii="Times New Roman" w:hAnsi="Times New Roman"/>
          <w:sz w:val="20"/>
          <w:bdr w:val="single" w:sz="8" w:space="1" w:color="000000"/>
        </w:rPr>
        <w:t xml:space="preserve">. We have included our website address in this prospectus supplement solely as an inactive textual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JOBS Act. For as long as we qualify as an emerging growth company, we may take advantage of certain exemptions from various reporting requirements and other burdens that are otherwise applicable generally to public companies. These provisions include, but are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obligations with respect to financial data, including presenting only two years of audited financial statements;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auditor attestation requirements of Section 404 of the Sarbanes-Oxley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in our periodic reports, proxy statements, and registration statements;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non-binding advisory votes on executive compensation or golden parachute arrangements.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under the JOBS Act, emerging growth companies can delay adopting new or revised accounting standards until such time as those standards apply to private companies. We have elected to avail ourselves of this exemption from adopting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reporting exemptions until we no longer qualify as an emerging growth company, or, with respect to adoption of certain new or revised accounting standards, until we irrevocably elect to opt out of using the extended transition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JOBS Act, we will remain an emerging growth company until the earliest of: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in which we have total annual gross revenues of $1.235 billion or more;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our fiscal year following the fifth anniversary of the date of the closing of our initial public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we have issued more than $1.0 billion in nonconvertible debt during the previous three years;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we are deemed to be a “large accelerated filer” under the Exchange Act (i.e., the first day of the fiscal year after we have (i) more than $700.0 million in outstanding common equity held by our non-affiliates, measured each year on the last business day of our most recently completed second fiscal quarter, and (ii) been public for at least 12 months).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(i) the market value of our voting and non-voting common stock held by non-affiliates equals or exceeds $250.0 million measured on the last business day of our most recently completed second fiscal quarter, and our annual revenues are more than $100.0 million during the most recently completed fiscal year or (ii) the market value of our voting and non-voting common stock held by non-affiliates equals or exceeds $700.0 million measured on the last business day of our most recently completed second fiscal quarter. As a result, the information in this prospectus and that we provide to our investors in the future may be different than what you might receive from other public reporting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toc179208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7" w:type="dxa"/>
            <w:tcBorders/>
          </w:tcPr>
          <w:p>
            <w:pPr>
              <w:pStyle w:val="TableContents"/>
              <w:bidi w:val="0"/>
              <w:spacing w:before="0" w:after="283"/>
              <w:jc w:val="left"/>
              <w:rPr/>
            </w:pPr>
            <w:r>
              <w:rPr/>
              <w:t xml:space="preserve">     </w:t>
            </w:r>
            <w:r>
              <w:rPr/>
              <w:t xml:space="preserve">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 to Purchase Additional Shares From Us </w:t>
            </w:r>
          </w:p>
        </w:tc>
        <w:tc>
          <w:tcPr>
            <w:tcW w:w="6327" w:type="dxa"/>
            <w:tcBorders/>
          </w:tcPr>
          <w:p>
            <w:pPr>
              <w:pStyle w:val="TableContents"/>
              <w:bidi w:val="0"/>
              <w:spacing w:before="0" w:after="283"/>
              <w:jc w:val="left"/>
              <w:rPr/>
            </w:pPr>
            <w:r>
              <w:rPr/>
              <w:t xml:space="preserve">We have granted the underwriters an option for a period of 30 days from the date of this prospectus supplement to purchase up to an additional      shares of our common stock from us at the public offering price, less underwriting discounts and commissions.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Immediately After This Offering(1) </w:t>
            </w:r>
          </w:p>
        </w:tc>
        <w:tc>
          <w:tcPr>
            <w:tcW w:w="6327" w:type="dxa"/>
            <w:tcBorders/>
          </w:tcPr>
          <w:p>
            <w:pPr>
              <w:pStyle w:val="TableContents"/>
              <w:bidi w:val="0"/>
              <w:spacing w:before="0" w:after="283"/>
              <w:jc w:val="left"/>
              <w:rPr/>
            </w:pPr>
            <w:r>
              <w:rPr/>
              <w:t xml:space="preserve">     </w:t>
            </w:r>
            <w:r>
              <w:rPr/>
              <w:t xml:space="preserve">shares (or      shares if the underwriters exercise their option to purchase additional shares of common stock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estimate the net proceeds from this offering will be approximately $     million, or approximately $     million if the underwriters exercise their option to purchase additional shares in full, after deducting underwriting discounts and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We currently intend to use the net proceeds from this offering for general corporate purposes (including potentially the repayment of a portion of our outstanding debt obligations). We reserve the right, at the sole discretion of our management, to reallocate the proceeds of this offering in response to developments in our business and other factors. See “Use of Proceeds” on page S-16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Investing in our securities involves a high degree of risk. See “Risk Factors” beginning on page S-13 and other information included or incorporated by reference in this prospectus supplement for a discussion of factors you should carefully consider before investing in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Symbol on the Nasdaq Global Market </w:t>
            </w:r>
          </w:p>
        </w:tc>
        <w:tc>
          <w:tcPr>
            <w:tcW w:w="6330" w:type="dxa"/>
            <w:tcBorders/>
          </w:tcPr>
          <w:p>
            <w:pPr>
              <w:pStyle w:val="TableContents"/>
              <w:bidi w:val="0"/>
              <w:spacing w:before="0" w:after="283"/>
              <w:jc w:val="left"/>
              <w:rPr/>
            </w:pPr>
            <w:r>
              <w:rPr/>
              <w:t>“</w:t>
            </w:r>
            <w:r>
              <w:rPr/>
              <w:t xml:space="preserve">TKNO” </w:t>
            </w:r>
          </w:p>
        </w:tc>
      </w:tr>
    </w:tbl>
    <w:p>
      <w:pPr>
        <w:pStyle w:val="TextBody"/>
        <w:bidi w:val="0"/>
        <w:spacing w:before="0" w:after="0"/>
        <w:jc w:val="left"/>
        <w:rPr>
          <w:bdr w:val="single" w:sz="8" w:space="1" w:color="000000"/>
        </w:rPr>
      </w:pPr>
      <w:r>
        <w:rPr>
          <w:bdr w:val="single" w:sz="8" w:space="1" w:color="000000"/>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our common stock to be outstanding immediately after this offering is based on 53,702,534 shares of common stock outstanding as of September 30, 2026 and excludes, in each case as of September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6,417,264 shares of our common stock issuable upon the exercise of stock options outstanding under our 2016 Stock Plan, as amended, our 2020 Equity Incentive Plan, as amended, and our 2021 Equity Incentive Plan (the “2021 Plan”), with a weighted average exercise price of $3.34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22,535 shares of common stock reserved for issuance upon settlement of outstanding restricted stock units under the 2021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4,389,488 shares of common stock reserved for issuance pursuant to future awards under the 2021 Plan (which number of shares accounts for the annual increases pursuant to the provisions of such plan which provide for a possible annual increase on January 1 of each year for a period of ten years commencing on January 1, 2022 and ending on (and including) January 1, 2031, in an amount equal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 of the total number of shares of common stock outstanding on December 31 of the preceding year (but does not include any such increase for January 1, 2025 or January 1, 2026, as the Company determined not to implement the increases for such dates, and does not include a possible increase in any subsequent year));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1,168,142 shares of common stock reserved for issuance pursuant to future awards under our 2021 Employee Stock Purchase Plan (which number of shares accounts for the annual increases pursuant to the provisions of such plan which provide for a possible annual increase on January 1 of each year for a period of ten years commencing on January 1, 2022 and ending on (and including) January 1, 2031, in an amount equal to the lesser of (i) 1% of the total number of shares of common stock outstanding on December 31 of the preceding calendar year, and (ii) 319,911 shares of common stock (but does not include any such increase for January 1, 2025 or January 1, 2026, as the Company determined not to implement the increases for such dates, and does not include a possible increase in any subsequent year)).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number of shares of our common stock to be outstanding immediately after this offering excludes shares of common stock that we may sell pursuant to our sales agreement (the “Sales Agreement”) with Cowen and Company, LLC, which has been assigned to TD Securities (USA) LLC as its successor in interest, dated March 30, 2023. As of the date of this prospectus supplement, we may sell up to $50.0 million of shares of our common stock remaining available for sale by us under the Sales Agreement after the expiration or waiver of the lock-up period applicable to us as a result of this offering; however, we do not currently have an effective prospectus relating to our common stock issuable pursuant to the terms of the Sales Agreement, and we will not make any sales of our common stock pursuant to the Sales Agreement, unless and until a new prospectus, prospectus supplement or a new registration statement is filed. See the section titled “Underwriting” for more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we specifically state otherwise, all information in this prospectus assumes no exercise of the underwriters’ option to purchase additional shares of our common stock, no exercise of outstanding stock options or the settlement of any restricted stock units, in each case subsequent to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179208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securities involves a high degree of risk. Before making an investment decision, you should consider carefully the risks, uncertainties and other factors described in our most recent Annual Report on Form 10-K and Quarterly Report on Form 10-Q, as supplemented and updated by subsequent Quarterly Reports on Form 10-Q and Current Reports on Form 8-K that we have filed or will file with the SEC, which are incorporated by reference into this prospectus supplement and accompanying prospectus.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or the risks and uncertainties described below actually occurs, our business, financial condition, results of operations or prospects could be harmed substantially. In such a case, the trading price of our common stock could decline and you could lose all or part of your investment. You should carefully consider the risks and uncertainties described below and those risks and uncertainties incorporated by reference into this prospectus supplement, as well as the other information included in this prospectus supplement, before making an investment decision with respect to our common stock. Please also carefully read the section above titled “Cautionary Statement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will have broad discretion in how we apply our available funds, including the net proceeds we receive from this offering, and we may not use these funds effectively, which could affect our results of operations and cause our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over the use of proceeds from this offering. We intend to use the net proceeds from this offering for general corporate purposes (including potentially the repayment of a portion of our outstanding debt obligations) and may also use such proceeds for working capital and other general corporate purposes, which may include, among other things, expenditures to increase our manufacturing capacity and capabilities, improve operating efficiency, scale up our marketing, sales and research and development staff and capabilities, increase brand awareness, develop new products and services, attract new customers, pursue acquisition opportunities, and for other corporate purposes.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 Pending their use, we may invest our available funds in a manner that does not produce income or that loses value. See “Use of Proceeds” beginning on page S-16 of this prospectus supplement for additional detail.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Purchasers of common stock in this offering will experience immediate and substantial dilution in the book value of their investment. </w:t>
      </w:r>
    </w:p>
    <w:p>
      <w:pPr>
        <w:pStyle w:val="TextBody"/>
        <w:bidi w:val="0"/>
        <w:spacing w:before="120" w:after="0"/>
        <w:jc w:val="left"/>
        <w:rPr>
          <w:rFonts w:ascii="Times New Roman" w:hAnsi="Times New Roman"/>
          <w:sz w:val="20"/>
        </w:rPr>
      </w:pPr>
      <w:r>
        <w:rPr>
          <w:rFonts w:ascii="Times New Roman" w:hAnsi="Times New Roman"/>
          <w:sz w:val="20"/>
        </w:rPr>
        <w:t>If you purchase shares of our common stock in this offering, you will experience immediate and substantial dilution, as the public offering price of our common stock will be substantially greater than the net tangible book value per share of our common stock before giving effect to this offering. Accordingly, if you purchase our common stock in this offering, you will incur immediate substantial dilution of approximately $     per share, representing the difference between the public offering price per share of common stock and our as adjusted net tangible book value as of June 30, 2026. For a further description of the dilution that you will experience immediately after this offering, see the section of this prospectus supplement entitled “</w:t>
      </w:r>
      <w:r>
        <w:rPr>
          <w:rFonts w:ascii="Times New Roman" w:hAnsi="Times New Roman"/>
          <w:i/>
          <w:sz w:val="20"/>
        </w:rPr>
        <w:t>Dilution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In order to raise additional capital, in the future we expect to offer additional shares of our common stock or other securities convertible into or exchangeable for our common stock, including sales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Sales Agreement that may become eligible to sell once a new prospectus, prospectus supplement or a new registration statement is filed covering such sales.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To the extent that outstanding options or warrants to purchase common stock are exercised, investors purchasing our common stock in this offering may experience further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our common stock, or the perception that such future sales may occur, may cause our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or the perception that these sales could occur, following this offering could cause the market price of our common stock to decline. A substantial majority of the outstanding shares of our common stock are, and the shares of common stock sold in this offering, upon issuance will be, freely tradable without restriction or further registration under the Securities Act. We may sell large quantities of our common stock at any time pursuant to one or more separate offerings in the future. We cannot predict the effect that future sales of common stock or other equity-related securities would have on the market price of our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Because we have no current plans to pay regular cash dividends on our common stock and are prohibited from paying cash dividends under the Second Amended and Restated Credit Agreement, you may not receive any return on investment unless you sell your common stock for a price higher than you paid for it. </w:t>
      </w:r>
    </w:p>
    <w:p>
      <w:pPr>
        <w:pStyle w:val="TextBody"/>
        <w:bidi w:val="0"/>
        <w:spacing w:before="120" w:after="0"/>
        <w:jc w:val="left"/>
        <w:rPr>
          <w:rFonts w:ascii="Times New Roman" w:hAnsi="Times New Roman"/>
          <w:sz w:val="20"/>
        </w:rPr>
      </w:pPr>
      <w:r>
        <w:rPr>
          <w:rFonts w:ascii="Times New Roman" w:hAnsi="Times New Roman"/>
          <w:sz w:val="20"/>
        </w:rPr>
        <w:t xml:space="preserve">We do not anticipate paying any regular cash dividends on our common stock.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the terms of our Second Amended and Restated Credit Agreement, dated March 3, 2025 (the “Second Amended and Restated Credit Agreement”) with MidCap Financial Trust as agent and lender, prohibit us from paying dividends, other than dividends payable in our stock, without the prior written consent of the lender. Our future ability to pay cash dividends on our common stock may also be limited by the terms of any future debt or preferred securities we may issue or any future credit facilities we may enter into. Therefore, any return on investment in our common stock is solely dependent upon the appreciation of the price of our common stock on the open market, which may not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179208_6"/>
      <w:bookmarkEnd w:id="8"/>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Certain information contained in this prospectus supplement and the documents incorporated by reference into this prospectus supplement relates to or is based on studies, publications, surveys, publicly available information, reports of governmental agencies and other data obtained from third-party sources and our own internal estimates and research. This information involves a number of assumptions and limitations, and you are cautioned not to give undue weight to these estimates. While we believe these third-party sources to be reliable as of the date of this prospectus supplement or such document incorporated by reference, we have not independently verified the market and industry data contained in this prospectus supplement and the documents incorporated by reference into this prospectus supplement or the underlying assumptions relied on therein. Finally, while we believe our own internal research is reliable, such research has not been verified by any independent source. Notwithstanding the foregoing, we are liable for the information provided in this prospectus supplement and the documents incorporated by reference into this prospectus supplement. The industry in which we operate is subject to a high degree of uncertainty and risk due to a variety of factors, including those described in the section of this prospectus supplement titled “Risk Factors” and under similar headings in the documents incorporated by reference into this prospectus supplement. These and other factors could cause results to differ materially from those expressed in the estimates made by the independent parties and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179208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the sale of the common stock in this offering will be approximately $     million, or approximately $     million if the underwriters exercise their option to purchase additional shares in full,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this offering for general corporate purposes (including potentially the repayment of a portion of our outstanding debt obligations). We also may use a portion of the net proceeds to acquire or invest in other businesses, products and technologies that are complementary to our own, although we have no current commitments or arrangements to do so. </w:t>
      </w:r>
    </w:p>
    <w:p>
      <w:pPr>
        <w:pStyle w:val="TextBody"/>
        <w:bidi w:val="0"/>
        <w:spacing w:before="240" w:after="0"/>
        <w:jc w:val="left"/>
        <w:rPr>
          <w:rFonts w:ascii="Times New Roman" w:hAnsi="Times New Roman"/>
          <w:sz w:val="20"/>
        </w:rPr>
      </w:pPr>
      <w:r>
        <w:rPr>
          <w:rFonts w:ascii="Times New Roman" w:hAnsi="Times New Roman"/>
          <w:sz w:val="20"/>
        </w:rPr>
        <w:t xml:space="preserve">The precise amount and timing of the application of these proceeds will depend upon a number of factors, such as the timing and progress of our growth, our funding requirements, and the availability and costs of other funds. As of the date of this prospectus supplement, we cannot specify with certainty all of the particular uses for the net proceeds to us from this offering. Accordingly, our management will have broad discretion in the timing and application of these proceeds. Pending application of the net proceeds as described above, we intend to temporarily invest a portion of the proceeds of this offering in short-term,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179208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Purchasers of our common stock in this offering will experience immediate dilution to the extent of the difference between the public offering price per share of common stock and the as adjusted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June 30, 2026 was approximately $50 million, or $0.93 per share of common stock. Net tangible book value per share is determined by dividing the net of total tangible assets less total liabilities, by the aggregate number of shares of common stock outstanding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by us of      shares of our common stock offered hereby in the aggregate amount of $     at the public offering price of $     per share, and after deducting underwriting discounts and commissions and estimated aggregate offering expenses payable by us, our as adjusted net tangible book value as of June 30, 2026 would have been approximately $     million, or $     per share of common stock. This represents an immediate increase in net tangible book value of $     per share of common stock to our existing stockholders and an immediate dilution in net tangible book value of $     per share of common stock issued to the investors participating in this offering. The following table illustrates this per share dilution: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01"/>
        <w:gridCol w:w="255"/>
        <w:gridCol w:w="140"/>
        <w:gridCol w:w="446"/>
        <w:gridCol w:w="63"/>
      </w:tblGrid>
      <w:tr>
        <w:trPr/>
        <w:tc>
          <w:tcPr>
            <w:tcW w:w="9301"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June 30, 2026</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6" w:type="dxa"/>
            <w:tcBorders/>
            <w:vAlign w:val="bottom"/>
          </w:tcPr>
          <w:p>
            <w:pPr>
              <w:pStyle w:val="TableContents"/>
              <w:bidi w:val="0"/>
              <w:spacing w:before="0" w:after="283"/>
              <w:jc w:val="right"/>
              <w:rPr/>
            </w:pPr>
            <w:r>
              <w:rPr/>
              <w:t>0.93</w:t>
            </w:r>
          </w:p>
        </w:tc>
        <w:tc>
          <w:tcPr>
            <w:tcW w:w="63" w:type="dxa"/>
            <w:tcBorders/>
            <w:vAlign w:val="bottom"/>
          </w:tcPr>
          <w:p>
            <w:pPr>
              <w:pStyle w:val="TableContents"/>
              <w:bidi w:val="0"/>
              <w:spacing w:before="0" w:after="283"/>
              <w:jc w:val="left"/>
              <w:rPr>
                <w:sz w:val="4"/>
                <w:szCs w:val="4"/>
              </w:rPr>
            </w:pPr>
            <w:r>
              <w:rPr>
                <w:sz w:val="4"/>
                <w:szCs w:val="4"/>
              </w:rPr>
            </w:r>
          </w:p>
        </w:tc>
      </w:tr>
      <w:tr>
        <w:trPr/>
        <w:tc>
          <w:tcPr>
            <w:tcW w:w="9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new investors purchasing shares in this offering</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9301"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June 30, 2026, after giving effect to this offering</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participating in this offering</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to purchase additional shares of common stock in this offering in full at the public offering price of $     per share of common stock, after deducting underwriting discounts and commissions and estimated offering expenses payable by us, our as adjusted net tangible book value per share as of June 30, 2026 would have been $     per share, and the immediate dilution in as adjusted net tangible book value to investors participating in this offering would have been $     per share.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 are based on an aggregate of 53,702,534 shares of common stock outstanding as of September 30, 2026 and excludes, in each case as of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6,429,749 shares of our common stock issuable upon the exercise of stock options outstanding under our 2016 Stock Plan, as amended, our 2020 Equity Incentive Plan, as amended, and the 2021 Plan, with a weighted average exercise price of $3.34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22,535 shares of common stock reserved for issuance upon settlement of outstanding restricted stock units under the 2021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4,396,890 shares of common stock reserved for issuance pursuant to future awards under the 2021 Plan (which number of shares accounts for the annual increases pursuant to the provisions of such plan which provide for a possible annual increase on January 1 of each year for a period of ten years commencing on January 1, 2022 and ending on (and including) January 1, 2031, in an amount equal to 4% of the total number of shares of common stock outstanding on December 31 of the preceding year (but does not include any such increase for January 1, 2025 or January 1, 2026, as the Company determined not to implement the increases for such dates, and does not include a possible increase in any subsequent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1,168,142 shares of common stock reserved for issuance pursuant to future awards under our 2021 Employee Stock Purchase Plan (which number of shares accounts for the annual increases pursuant to the provisions of such plan which provide for a possible annual increase on January 1 of each year for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 of ten years commencing on January 1, 2022 and ending on (and including) January 1, 2031, in an amount equal to the lesser of (i) 1% of the total number of shares of common stock outstanding on December 31 of the preceding calendar year, and (ii) 319,911 shares of common stock (but does not include any such increase for January 1, 2025 or January 1, 2026, as the Company determined not to implement the increases for such dates, and does not include a possible increase in any subsequent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number of shares of our common stock outstanding immediately after this offering excludes additional shares of common stock that we may sell pursuant to our Sales Agreement. As of the date of this prospectus supplement, we may sell up to $50.0 million of shares of our common stock remaining under the Sales Agreement after the expiration or waiver of the lock-up period applicable to us as a result of this offering; however, we do not currently have an effective prospectus relating to our common stock issuable pursuant to the terms of the Sales Agreement, and we will not make any sales of our common stock pursuant to the Sales Agreement, unless and until a new prospectus, prospectus supplement or a new registration statement is filed. See the section titled “Underwriting”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options and restricted stock units outstanding as of June 30, 2026 have been or are exercised or have been settled in shares of common stock, as applicable, new options or other equity awards are granted under our equity incentive plans, or we issue additional shares in the future,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oc179208_9"/>
      <w:bookmarkEnd w:id="11"/>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not paid any dividends since our inception. We currently intend to retain all available funds and any future earnings to support operations and to finance the growth and development of our business. We do not currently intend to declare or pay any cash dividends on our common stock in the foreseeable future. Any future determination to pay dividends on our capital stock will be at the discretion of our board of directors, subject to applicable laws, and will depend on our financial condition, results of operations, capital requirements, and other factors that our board of directors considers relevant. In particular, unless waived, the terms of the Second Amended and Restated Credit Agreement prohibit us from paying dividends, other than dividends payable in our stock, without the prior written consent of the lender. Our future ability to pay cash dividends on our common stock may also be limited by the terms of any future debt or preferred securities we may issue or any future credit facilities we may enter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oc179208_10"/>
      <w:bookmarkEnd w:id="12"/>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for the offering named below have entered into an underwriting agreement with respect to the common stock being offered. Subject to the terms and conditions of the underwriting agreement, each underwriter has severally agreed to purchase from us the number of shares of our common stock set forth opposite its name below. TD Securities (USA) LLC and William Blair &amp; Company, L.L.C. are the representatives of the underwriters.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979"/>
        <w:gridCol w:w="213"/>
        <w:gridCol w:w="65"/>
        <w:gridCol w:w="1069"/>
        <w:gridCol w:w="62"/>
      </w:tblGrid>
      <w:tr>
        <w:trPr/>
        <w:tc>
          <w:tcPr>
            <w:tcW w:w="7979"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97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213"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2" w:type="dxa"/>
            <w:tcBorders/>
            <w:vAlign w:val="bottom"/>
          </w:tcPr>
          <w:p>
            <w:pPr>
              <w:pStyle w:val="TableContents"/>
              <w:bidi w:val="0"/>
              <w:spacing w:before="0" w:after="283"/>
              <w:jc w:val="left"/>
              <w:rPr/>
            </w:pPr>
            <w:r>
              <w:rPr/>
              <w:t> </w:t>
            </w:r>
          </w:p>
        </w:tc>
      </w:tr>
      <w:tr>
        <w:trPr/>
        <w:tc>
          <w:tcPr>
            <w:tcW w:w="7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21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7979" w:type="dxa"/>
            <w:tcBorders/>
          </w:tcPr>
          <w:p>
            <w:pPr>
              <w:pStyle w:val="TableContents"/>
              <w:bidi w:val="0"/>
              <w:spacing w:before="0" w:after="0"/>
              <w:jc w:val="left"/>
              <w:rPr>
                <w:rFonts w:ascii="Times New Roman" w:hAnsi="Times New Roman"/>
                <w:sz w:val="20"/>
              </w:rPr>
            </w:pPr>
            <w:r>
              <w:rPr>
                <w:rFonts w:ascii="Times New Roman" w:hAnsi="Times New Roman"/>
                <w:sz w:val="20"/>
              </w:rPr>
              <w:t>William Blair &amp; Company, L.L.C.</w:t>
            </w:r>
          </w:p>
        </w:tc>
        <w:tc>
          <w:tcPr>
            <w:tcW w:w="21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7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1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7979"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69"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underwriters are subject to certain conditions precedent and that the underwriters have agreed, severally and not jointly, to purchase all of the shares sold under the underwriting agreement if any of these shares are purchased, other than those shares covered by the option to purchase additional shares described below.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specified liabilities, including liabilities under the Securities Act, and to contribute to payments the underwriters may be required to make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 </w:t>
      </w:r>
    </w:p>
    <w:p>
      <w:pPr>
        <w:pStyle w:val="TextBody"/>
        <w:bidi w:val="0"/>
        <w:spacing w:before="240" w:after="0"/>
        <w:jc w:val="left"/>
        <w:rPr>
          <w:rFonts w:ascii="Times New Roman" w:hAnsi="Times New Roman"/>
          <w:sz w:val="20"/>
        </w:rPr>
      </w:pPr>
      <w:r>
        <w:rPr>
          <w:rFonts w:ascii="Times New Roman" w:hAnsi="Times New Roman"/>
          <w:b/>
          <w:i/>
          <w:sz w:val="20"/>
        </w:rPr>
        <w:t>Option to Purchase Additional Shares.</w:t>
      </w:r>
      <w:r>
        <w:rPr>
          <w:rFonts w:ascii="Times New Roman" w:hAnsi="Times New Roman"/>
          <w:sz w:val="20"/>
        </w:rPr>
        <w:t xml:space="preserve"> We have granted to the underwriters an option to purchase up to additional shares of common stock at the public offering price, less the underwriting discounts and commissions. This option is exercisable for a period of 30 days. To the extent that the underwriters exercise this option, the underwriters will purchase additional shares from us in approximately the same proportion as shown in the table above. </w:t>
      </w:r>
    </w:p>
    <w:p>
      <w:pPr>
        <w:pStyle w:val="TextBody"/>
        <w:bidi w:val="0"/>
        <w:spacing w:before="240" w:after="0"/>
        <w:jc w:val="left"/>
        <w:rPr>
          <w:rFonts w:ascii="Times New Roman" w:hAnsi="Times New Roman"/>
          <w:sz w:val="20"/>
        </w:rPr>
      </w:pPr>
      <w:r>
        <w:rPr>
          <w:rFonts w:ascii="Times New Roman" w:hAnsi="Times New Roman"/>
          <w:b/>
          <w:i/>
          <w:sz w:val="20"/>
        </w:rPr>
        <w:t xml:space="preserve">Discounts and Commissions. </w:t>
      </w:r>
      <w:r>
        <w:rPr>
          <w:rFonts w:ascii="Times New Roman" w:hAnsi="Times New Roman"/>
          <w:sz w:val="20"/>
        </w:rPr>
        <w:t xml:space="preserve">The following table shows the public offering price, underwriting discounts and commissions and proceeds, before expenses, to us. These amounts are shown assuming both no exercise and full exercise of the underwriters’ option to purchase additional shares.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the offering, excluding underwriting discounts and commissions, will be approximately $     and are payable by us. We have agreed to reimburse the underwriters for up to $20,000 for their Financial Industry Regulatory Authority (“FINRA”) counsel fee. In accordance with FINRA Rule 5110, this reimbursed fee is deemed underwriting compensation for this offering. The underwriters have also agreed to reimburse us for certain of our expenses incurred in connection with this offering.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310"/>
        <w:gridCol w:w="348"/>
        <w:gridCol w:w="140"/>
        <w:gridCol w:w="810"/>
        <w:gridCol w:w="60"/>
        <w:gridCol w:w="348"/>
        <w:gridCol w:w="140"/>
        <w:gridCol w:w="810"/>
        <w:gridCol w:w="60"/>
        <w:gridCol w:w="348"/>
        <w:gridCol w:w="140"/>
        <w:gridCol w:w="810"/>
        <w:gridCol w:w="64"/>
      </w:tblGrid>
      <w:tr>
        <w:trPr/>
        <w:tc>
          <w:tcPr>
            <w:tcW w:w="5310"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1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366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531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pPr>
            <w:r>
              <w:rPr>
                <w:b/>
              </w:rPr>
              <w:t>Per</w:t>
            </w:r>
            <w:r>
              <w:rPr/>
              <w:br/>
            </w:r>
            <w:r>
              <w:rPr>
                <w:b/>
              </w:rPr>
              <w:t>Share</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pPr>
            <w:r>
              <w:rPr>
                <w:b/>
              </w:rPr>
              <w:t>Without</w:t>
            </w:r>
            <w:r>
              <w:rPr/>
              <w:br/>
            </w:r>
            <w:r>
              <w:rPr>
                <w:b/>
              </w:rPr>
              <w:t>Option</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pPr>
            <w:r>
              <w:rPr>
                <w:b/>
              </w:rPr>
              <w:t>With</w:t>
            </w:r>
            <w:r>
              <w:rPr/>
              <w:br/>
            </w:r>
            <w:r>
              <w:rPr>
                <w:b/>
              </w:rPr>
              <w:t>Option</w:t>
            </w:r>
          </w:p>
        </w:tc>
        <w:tc>
          <w:tcPr>
            <w:tcW w:w="64" w:type="dxa"/>
            <w:tcBorders/>
            <w:vAlign w:val="bottom"/>
          </w:tcPr>
          <w:p>
            <w:pPr>
              <w:pStyle w:val="TableContents"/>
              <w:bidi w:val="0"/>
              <w:spacing w:before="0" w:after="283"/>
              <w:jc w:val="left"/>
              <w:rPr/>
            </w:pPr>
            <w:r>
              <w:rPr/>
              <w:t> </w:t>
            </w:r>
          </w:p>
        </w:tc>
      </w:tr>
      <w:tr>
        <w:trPr/>
        <w:tc>
          <w:tcPr>
            <w:tcW w:w="5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310"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the company</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underwriters propose to offer the shares of common stock to the public at the public offering price set forth on the cover of this prospectus supplement. The underwriters may offer the shares of common stock to securities dealers at the public offering price less a concession not in excess of $     per share. If all of the shares are not sold at the public offering price, the underwriters may change the offering price and other selling terms. Sales of any shares of common stock may be made by affiliates of the underwriters. </w:t>
      </w:r>
    </w:p>
    <w:p>
      <w:pPr>
        <w:pStyle w:val="TextBody"/>
        <w:bidi w:val="0"/>
        <w:spacing w:before="240" w:after="0"/>
        <w:jc w:val="left"/>
        <w:rPr>
          <w:rFonts w:ascii="Times New Roman" w:hAnsi="Times New Roman"/>
          <w:sz w:val="20"/>
        </w:rPr>
      </w:pPr>
      <w:r>
        <w:rPr>
          <w:rFonts w:ascii="Times New Roman" w:hAnsi="Times New Roman"/>
          <w:b/>
          <w:i/>
          <w:sz w:val="20"/>
        </w:rPr>
        <w:t>Discretionary Accounts.</w:t>
      </w:r>
      <w:r>
        <w:rPr>
          <w:rFonts w:ascii="Times New Roman" w:hAnsi="Times New Roman"/>
          <w:sz w:val="20"/>
        </w:rPr>
        <w:t xml:space="preserve"> The underwriters do not intend to confirm sales of the shares to any accounts over which they have discretionary authority. </w:t>
      </w:r>
    </w:p>
    <w:p>
      <w:pPr>
        <w:pStyle w:val="TextBody"/>
        <w:bidi w:val="0"/>
        <w:spacing w:before="240" w:after="0"/>
        <w:jc w:val="left"/>
        <w:rPr>
          <w:rFonts w:ascii="Times New Roman" w:hAnsi="Times New Roman"/>
          <w:sz w:val="20"/>
        </w:rPr>
      </w:pPr>
      <w:r>
        <w:rPr>
          <w:rFonts w:ascii="Times New Roman" w:hAnsi="Times New Roman"/>
          <w:b/>
          <w:i/>
          <w:sz w:val="20"/>
        </w:rPr>
        <w:t>Market Information.</w:t>
      </w:r>
      <w:r>
        <w:rPr>
          <w:rFonts w:ascii="Times New Roman" w:hAnsi="Times New Roman"/>
          <w:sz w:val="20"/>
        </w:rPr>
        <w:t xml:space="preserve"> Our common stock is traded on the Nasdaq Global Market under the symbol ‘‘TKNO’’. </w:t>
      </w:r>
    </w:p>
    <w:p>
      <w:pPr>
        <w:pStyle w:val="TextBody"/>
        <w:bidi w:val="0"/>
        <w:spacing w:before="240" w:after="0"/>
        <w:jc w:val="left"/>
        <w:rPr>
          <w:rFonts w:ascii="Times New Roman" w:hAnsi="Times New Roman"/>
          <w:sz w:val="20"/>
        </w:rPr>
      </w:pPr>
      <w:r>
        <w:rPr>
          <w:rFonts w:ascii="Times New Roman" w:hAnsi="Times New Roman"/>
          <w:b/>
          <w:i/>
          <w:sz w:val="20"/>
        </w:rPr>
        <w:t>Stabilization.</w:t>
      </w:r>
      <w:r>
        <w:rPr>
          <w:rFonts w:ascii="Times New Roman" w:hAnsi="Times New Roman"/>
          <w:sz w:val="20"/>
        </w:rPr>
        <w:t xml:space="preserve"> In connection with this offering, the underwriters (and their affiliates) may engage in stabilizing transactions, overallotment transactions, syndicate covering transactions, penalty bids and purchases to cover positions created by short sales.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Overallotment transactions involve sales by the underwriters of shares of common stock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option to purchase additional shares. In a naked short position, the number of shares involved is greater than the number of shares in the option to purchase additional shares. The underwriters may close out any short position by exercising their option to purchase additional shares and/or purchasing shares in the open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Syndicate covering transactions involve purchases of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option to purchase additional shares. If the underwriters sell more shares than could be covered by exercise of the option to purchase additional shares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Penalty bids permit the representatives to reclaim a selling concession from a syndicate member when the common stock originally sold by that syndicate member is purchased in stabilizing or syndicate covering transactions to cover syndicate short positions.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the Nasdaq Global Market, in the over-the-counter market or otherwise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b/>
          <w:i/>
          <w:sz w:val="20"/>
        </w:rPr>
        <w:t>Passive Market Making.</w:t>
      </w:r>
      <w:r>
        <w:rPr>
          <w:rFonts w:ascii="Times New Roman" w:hAnsi="Times New Roman"/>
          <w:sz w:val="20"/>
        </w:rPr>
        <w:t xml:space="preserve"> In connection with this offering, underwriters and selling group members may engage in passive market making transactions in our common stock on the Nasdaq Global Market in accordance with Rule 103 of Regulation M under the Exchange Act, during a period before the commencement of offers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sales of common stock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 </w:t>
      </w:r>
    </w:p>
    <w:p>
      <w:pPr>
        <w:pStyle w:val="TextBody"/>
        <w:bidi w:val="0"/>
        <w:spacing w:before="240" w:after="0"/>
        <w:jc w:val="left"/>
        <w:rPr>
          <w:rFonts w:ascii="Times New Roman" w:hAnsi="Times New Roman"/>
          <w:sz w:val="20"/>
        </w:rPr>
      </w:pPr>
      <w:r>
        <w:rPr>
          <w:rFonts w:ascii="Times New Roman" w:hAnsi="Times New Roman"/>
          <w:b/>
          <w:i/>
          <w:sz w:val="20"/>
        </w:rPr>
        <w:t>Lock-Up Agreements.</w:t>
      </w:r>
      <w:r>
        <w:rPr>
          <w:rFonts w:ascii="Times New Roman" w:hAnsi="Times New Roman"/>
          <w:sz w:val="20"/>
        </w:rPr>
        <w:t xml:space="preserve"> Pursuant to certain “lock-up” agreements, we and our executive officers, directors and certain of our other stockholders have agreed, subject to certain exceptions, not to and will not cause or direct any of their respective affiliates to offer, sell, assign, transfer, pledge, contract to sell, lend or otherwise dispose of, or announce the intention to otherwise dispose of, or enter into, or announce the intention to enter into any swap, hedge or similar agreement or arrangement (including, without limitation, the purchase or sale of, or entry into, any put or call option, or combination thereof, forward, swap or any other derivative transaction or instrument, however described or defined) that transfers, is designed to transfer or reasonably could be expected to transfer (whether by the stockholder or someone other than the stockholder) in whole or in part, directly or indirectly the economic risk of ownership of, or engage in, or announce the intention to engage in, any short selling of, any common stock or securities convertible into or exchangeable or exercisable for any common stock without the prior written consent of TD Securities (USA) LLC and William Blair &amp; Company, L.L.C., for a period of 90 days after the date of the pricing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lock-up provision applies to common stock and to securities convertible into or exchangeable or exercisable for common stock. It also applies to common stock owned now or, in some instances, acquired later by the person executing the agreement or for which the person executing the agreement later acquires the power of disposition. The exceptions permit us, among other things and subject to restrictions, to: (i) issue common stock or options pursuant to employee benefit plans, (ii) issue common stock upon exercise of outstanding options or warrants, (iii) issue securities in connection with acquisitions or similar transactions, (iv) file registration statements on Form S-8, and (v) file a new registration statement on Form S-3. The exceptions permit parties to the ‘‘lock-up’’ agreements, among other things and subject to restrictions, to: (a) make certain gifts or transfers by will or intestate succession upon the death of the party, (b) if the party is a corporation, partnership, limited liability company or other business entity, make transfers to any shareholders, partners, members of, or owners of similar equity interests in, the party, if such transfer is not for value, (c) if the party is a corporation, partnership, limited liability company or other business entity, make transfers in connection with the sale or transfer of all of the party’s capital stock, partnership interests, membership interests or other similar equity interests, as the case may be, or all or substantially all of the party’s assets, in any such case not undertaken for the purpose of avoiding the restrictions imposed by the “lock-up” agreement, or to another corporation, partnership, limited liability company or other business entity so long as the transferee is an affiliate of the party and such transfer is not for value, (d) enter into a 10b5-1 trading plan, provided that such plan does not permit the sale of any common stock during the 90-day lock-up period and, except as required by applicable securities laws, no public announcement or filing is made regarding such plan during the 90-day lock-up period, (e) enter into transactions relating to shares of our common stock or other securities convertible into or exercisable or exchangeable for common stock acquired in this offering or in open market transactions after closing of this offering, provided that no public announcement or filing is required to be made regarding such transaction during the 90-day lock-up period, (f) make transfers to us to satisfy tax withholding obligations pursuant to our equity incentive plans disclosed in this prospectus supplement and any transfers through a “sell to cover” transaction to satisfy tax withholding obligations upon the vesting of restricted stock units pursuant to our equity incentive plans whether pursuant to the terms of a 10b5-1 trading plan or any sell to cover policy we have, (g) make transfers pursuant to a court or regulatory agency order, a qualified domestic order or in connection with a divorce settlement, (h) make transfers to us pursuant to contractual arrangements that provide for our repurchase or forfeiture of securities in connection with the termination of the party’s service to us, (i) make transfers pursuant to third-party tender offer, merger, consolidation or other similar transaction, and (j) sell shares of common stock pursuant to a 10b5-1 trading plan that has been disclosed to TD Securities (USA) LLC and William Blair &amp; Company, L.L.C. prior to the execution of the lock-up agreement by the party. In addition, the lock-up provision will not restrict broker-dealers from engaging in market making and similar activities conducted in the ordinary course of their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TD Securities (USA) LLC and William Blair &amp; Company, L.L.C., in their sole discretion, may release our common stock and other securities subject to the lock-up agreements described above in whole or in part at any time. When determining whether or not to release our common stock and other securities from lock-up agreements, TD Securities (USA) LLC and William Blair &amp; Company, L.L.C. will consider, among other factors, the holder’s reasons for requesting the release, the number of shares for which the release is being requested and market conditions at the time of the request.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will not be offered, directly or indirectly, to the public in Switzerland and this prospectus supplement does not constitute a public offering prospectus as that term is understood pursuant to article 652a or 1156 of the Swiss Federal Code of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shares may be offered to the public in that Member State at any time: </w:t>
      </w:r>
    </w:p>
    <w:p>
      <w:pPr>
        <w:pStyle w:val="TextBody"/>
        <w:bidi w:val="0"/>
        <w:spacing w:before="240" w:after="0"/>
        <w:jc w:val="left"/>
        <w:rPr>
          <w:rFonts w:ascii="Times New Roman" w:hAnsi="Times New Roman"/>
          <w:sz w:val="20"/>
        </w:rPr>
      </w:pPr>
      <w:r>
        <w:rPr>
          <w:rFonts w:ascii="Times New Roman" w:hAnsi="Times New Roman"/>
          <w:sz w:val="20"/>
        </w:rPr>
        <w:t xml:space="preserve">A. to any legal entity which is a qualified investor as defined under Article 2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under Article 2 of the Prospectus Regulation), subject to obtaining the prior consent of the representatives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C. in any other circumstances falling within Article 1(4)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shall require the Company or any underwriter to publish a prospectus pursuant to Section 85 of the FSMA or supplement a prospectus pursuant to Article 23 of the UK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acknowledged that this prospectus supplement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 </w:t>
      </w:r>
    </w:p>
    <w:p>
      <w:pPr>
        <w:pStyle w:val="TextBody"/>
        <w:bidi w:val="0"/>
        <w:spacing w:before="240" w:after="0"/>
        <w:jc w:val="left"/>
        <w:rPr>
          <w:rFonts w:ascii="Times New Roman" w:hAnsi="Times New Roman"/>
          <w:sz w:val="20"/>
        </w:rPr>
      </w:pPr>
      <w:r>
        <w:rPr>
          <w:rFonts w:ascii="Times New Roman" w:hAnsi="Times New Roman"/>
          <w:sz w:val="20"/>
        </w:rPr>
        <w:t xml:space="preserve">A. to an institutional investor (as defined in Section 4A of the Securities and Futures Act (Chapter 289) of Singapore, as modified or amended from time to time (the “SFA”)) pursuant to Section 274 of the SFA; </w:t>
      </w:r>
    </w:p>
    <w:p>
      <w:pPr>
        <w:pStyle w:val="TextBody"/>
        <w:bidi w:val="0"/>
        <w:spacing w:before="240" w:after="0"/>
        <w:jc w:val="left"/>
        <w:rPr>
          <w:rFonts w:ascii="Times New Roman" w:hAnsi="Times New Roman"/>
          <w:sz w:val="20"/>
        </w:rPr>
      </w:pPr>
      <w:r>
        <w:rPr>
          <w:rFonts w:ascii="Times New Roman" w:hAnsi="Times New Roman"/>
          <w:sz w:val="20"/>
        </w:rPr>
        <w:t xml:space="preserve">B. to a relevant person (as defined in Section 275(2) of the SFA) pursuant to Section 275(1) of the SFA, or any person pursuant to Section 275(1A) of the SFA, and in accordance with the conditions specified in Section 275 of the SFA; or </w:t>
      </w:r>
    </w:p>
    <w:p>
      <w:pPr>
        <w:pStyle w:val="TextBody"/>
        <w:bidi w:val="0"/>
        <w:spacing w:before="240" w:after="0"/>
        <w:jc w:val="left"/>
        <w:rPr>
          <w:rFonts w:ascii="Times New Roman" w:hAnsi="Times New Roman"/>
          <w:sz w:val="20"/>
        </w:rPr>
      </w:pPr>
      <w:r>
        <w:rPr>
          <w:rFonts w:ascii="Times New Roman" w:hAnsi="Times New Roman"/>
          <w:sz w:val="20"/>
        </w:rPr>
        <w:t xml:space="preserve">C.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240" w:after="0"/>
        <w:jc w:val="left"/>
        <w:rPr>
          <w:rFonts w:ascii="Times New Roman" w:hAnsi="Times New Roman"/>
          <w:sz w:val="20"/>
        </w:rPr>
      </w:pPr>
      <w:r>
        <w:rPr>
          <w:rFonts w:ascii="Times New Roman" w:hAnsi="Times New Roman"/>
          <w:sz w:val="20"/>
        </w:rPr>
        <w:t xml:space="preserve">A. a corporation (which is not an accredited investor (as defined in Section 4A of the SFA)) the sole business of which is to hold investments and the entire share capital of which is owned by one or more individuals, each of whom is an accredited investor; or </w:t>
      </w:r>
    </w:p>
    <w:p>
      <w:pPr>
        <w:pStyle w:val="TextBody"/>
        <w:bidi w:val="0"/>
        <w:spacing w:before="240" w:after="0"/>
        <w:jc w:val="left"/>
        <w:rPr>
          <w:rFonts w:ascii="Times New Roman" w:hAnsi="Times New Roman"/>
          <w:sz w:val="20"/>
        </w:rPr>
      </w:pPr>
      <w:r>
        <w:rPr>
          <w:rFonts w:ascii="Times New Roman" w:hAnsi="Times New Roman"/>
          <w:sz w:val="20"/>
        </w:rPr>
        <w:t xml:space="preserve">B.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shares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Israel </w:t>
      </w:r>
    </w:p>
    <w:p>
      <w:pPr>
        <w:pStyle w:val="TextBody"/>
        <w:bidi w:val="0"/>
        <w:spacing w:before="120" w:after="0"/>
        <w:jc w:val="left"/>
        <w:rPr>
          <w:rFonts w:ascii="Times New Roman" w:hAnsi="Times New Roman"/>
          <w:sz w:val="20"/>
        </w:rPr>
      </w:pPr>
      <w:r>
        <w:rPr>
          <w:rFonts w:ascii="Times New Roman" w:hAnsi="Times New Roman"/>
          <w:sz w:val="20"/>
        </w:rPr>
        <w:t xml:space="preserve">In the State of Israel this prospectus supplement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supplement or make, distribute or direct an offer to subscribe for our common stock to any person within the State of Israel, other than to Qualified Investors and up to 35 Addressed Investors. </w:t>
      </w:r>
    </w:p>
    <w:p>
      <w:pPr>
        <w:pStyle w:val="TextBody"/>
        <w:bidi w:val="0"/>
        <w:spacing w:before="240" w:after="0"/>
        <w:jc w:val="left"/>
        <w:rPr>
          <w:rFonts w:ascii="Times New Roman" w:hAnsi="Times New Roman"/>
          <w:sz w:val="20"/>
        </w:rPr>
      </w:pPr>
      <w:r>
        <w:rPr>
          <w:rFonts w:ascii="Times New Roman" w:hAnsi="Times New Roman"/>
          <w:sz w:val="20"/>
        </w:rPr>
        <w:t xml:space="preserve">Qualified Investors may have to submit written evidence that they meet the definitions set out in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under the Financial Instruments and Exchange Law of Japan (Law No. 25 of 1948, as amended) and, accordingly, will not be offered or sold, directly or indirectly, in Japan, or for the benefit of any Japanese Person (as defined below) or to others for re-offering or resale, directly or indirectly, in Japan or to any Japanese Person, except in compliance with all applicable laws, regulations and ministerial guidelines promulgated by relevant Japanese governmental or regulatory authorities in effect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relevant time. For the purposes of this paragraph, “Japanese Person” means any person resident in Japan, including any corporation or other entity organized under the laws of Japan. </w:t>
      </w:r>
    </w:p>
    <w:p>
      <w:pPr>
        <w:pStyle w:val="TextBody"/>
        <w:bidi w:val="0"/>
        <w:spacing w:before="36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No prospectus or other disclosure document (as defined in the Corporations Act 2001 (Cth) of Australia (the “Corporations Act”)) in relation to the shares of our common stock has been, or will be, lodged with the Australian Securities and Investments Commission (“ASIC”), the Australian Securities Exchange operated by ASX Limited or any other regulatory body or agency in Australia. This prospectus supplement has not been lodged with ASIC and is only directed to certain categories of exempt persons. Accordingly, if you receive this document in Australia: </w:t>
      </w:r>
    </w:p>
    <w:p>
      <w:pPr>
        <w:pStyle w:val="TextBody"/>
        <w:bidi w:val="0"/>
        <w:spacing w:before="240" w:after="0"/>
        <w:jc w:val="left"/>
        <w:rPr>
          <w:rFonts w:ascii="Times New Roman" w:hAnsi="Times New Roman"/>
          <w:sz w:val="20"/>
        </w:rPr>
      </w:pPr>
      <w:r>
        <w:rPr>
          <w:rFonts w:ascii="Times New Roman" w:hAnsi="Times New Roman"/>
          <w:sz w:val="20"/>
        </w:rPr>
        <w:t xml:space="preserve">(1) you confirm and warrant that you are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“sophisticated investor” under section 708(8)(a) or (b)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“sophisticated investor” under section 708(8)(c) or (d) of the Corporations Act and that you have provided an accountant’s certificate to us which complies with the requirements of section 708(8)(c)(i) or (ii) of the Corporations Act and related regulations before the offer has been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associated with the Company under section 708(12) of the Corporations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prospectus supplement is void and incapable of acceptance; 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(2) you warrant and agree that you will not offer any of the shares of common stock for resale in Australia within 12 months of those shares of common stock being issued unless any such resale offer is exempt from the requirement to issue a disclosure document under section 708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prospectus supplement. Accordingly, no purchaser of the shares, other than the underwriters, is authorized to make any further offer of shares on our behalf or on behalf of the underwriters. </w:t>
      </w:r>
    </w:p>
    <w:p>
      <w:pPr>
        <w:pStyle w:val="TextBody"/>
        <w:bidi w:val="0"/>
        <w:spacing w:before="240" w:after="0"/>
        <w:jc w:val="left"/>
        <w:rPr>
          <w:rFonts w:ascii="Times New Roman" w:hAnsi="Times New Roman"/>
          <w:sz w:val="20"/>
        </w:rPr>
      </w:pPr>
      <w:r>
        <w:rPr>
          <w:rFonts w:ascii="Times New Roman" w:hAnsi="Times New Roman"/>
          <w:b/>
          <w:i/>
          <w:sz w:val="20"/>
        </w:rPr>
        <w:t>Electronic Offer, Sale and Distribution of Shares.</w:t>
      </w:r>
      <w:r>
        <w:rPr>
          <w:rFonts w:ascii="Times New Roman" w:hAnsi="Times New Roman"/>
          <w:sz w:val="20"/>
        </w:rPr>
        <w:t xml:space="preserve"> A prospectus supplement in electronic format may be made available on the websites maintained by one or more of the underwriters or selling group members, if any, participating in this offering and one or more of the underwriters participating in this offering may distribute prospectus supplements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supplement in electronic format, the information on these websites is not part of this prospectus supplement or the registration statement of which this prospectus supplement forms a part, has not been approved or endorsed by us or any underwriter in its capacity as underwriter, and should not be relied upon by investors. </w:t>
      </w:r>
    </w:p>
    <w:p>
      <w:pPr>
        <w:pStyle w:val="TextBody"/>
        <w:bidi w:val="0"/>
        <w:spacing w:before="240" w:after="0"/>
        <w:jc w:val="left"/>
        <w:rPr>
          <w:rFonts w:ascii="Times New Roman" w:hAnsi="Times New Roman"/>
          <w:sz w:val="20"/>
        </w:rPr>
      </w:pPr>
      <w:r>
        <w:rPr>
          <w:rFonts w:ascii="Times New Roman" w:hAnsi="Times New Roman"/>
          <w:b/>
          <w:i/>
          <w:sz w:val="20"/>
        </w:rPr>
        <w:t>Other Relationships.</w:t>
      </w:r>
      <w:r>
        <w:rPr>
          <w:rFonts w:ascii="Times New Roman" w:hAnsi="Times New Roman"/>
          <w:sz w:val="20"/>
        </w:rPr>
        <w:t xml:space="preserve"> Certain of the underwriters and their affiliates have provided, and may in the future provide, various investment banking, commercial banking and other financial services for us and our affiliates for which they have received, and may in the future receive, customary fees. For example, we entered into the Sales Agreement with Cowen and Company, LLC, which has been assigned to TD Securities (USA) LLC as its successor in interest, under which we may offer and sell, from time to time at our discretion, shares of our common stock having an aggregate offering price of up to $50.0 million through TD Securities (USA)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acting as our sales agent, for which TD Securities (USA) LLC may receive customary fees and expenses. However, we do not currently have an effective prospectus relating to our common stock issuable pursuant to the terms of the Sales Agreement, and we will not make any sales of our common stock pursuant to the Sales Agreement, unless and until a new prospectus, prospectus supplement or a new registration statement is filed. 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Company or its affiliates.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oc179208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by this prospectus supplement will be passed upon for us by Paul Hastings LLP, Palo Alto, California. DLA Piper LLP (US), San Diego, California is acting as counsel to the underwriters in connection with this offering. </w:t>
      </w:r>
    </w:p>
    <w:p>
      <w:pPr>
        <w:pStyle w:val="TextBody"/>
        <w:bidi w:val="0"/>
        <w:spacing w:before="480" w:after="0"/>
        <w:jc w:val="center"/>
        <w:rPr>
          <w:rFonts w:ascii="Times New Roman" w:hAnsi="Times New Roman"/>
          <w:b/>
          <w:sz w:val="20"/>
        </w:rPr>
      </w:pPr>
      <w:bookmarkStart w:id="14" w:name="supptoc179208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Alpha Teknova, Inc. incorporated by reference in this prospectus supplement have been so incorporated by reference in reliance upon the report of Grant Thornton LLP, independent registered public accountants, upon the authority of said firm as experts in accounting and auditing. </w:t>
      </w:r>
    </w:p>
    <w:p>
      <w:pPr>
        <w:pStyle w:val="TextBody"/>
        <w:bidi w:val="0"/>
        <w:spacing w:before="480" w:after="0"/>
        <w:jc w:val="center"/>
        <w:rPr>
          <w:rFonts w:ascii="Times New Roman" w:hAnsi="Times New Roman"/>
          <w:b/>
          <w:sz w:val="20"/>
        </w:rPr>
      </w:pPr>
      <w:bookmarkStart w:id="15" w:name="supptoc179208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a reporting company and file annual, quarterly and current reports, proxy statements and other information with the SEC. We have filed with the SEC a registration statement on Form S-3 under the Securities Act with respect to the securities being offered under this prospectus supplement. This prospectus supplement and the accompanying prospectus do not contain all of the information set forth in the registration statement and exhibits and schedules to the registration statement. For further information with respect to us and the securities being offered under this prospectus supplement, we refer you to the registration statement and the schedules and exhibits filed as part of the registration statement. Statements contained in this prospectus supplement as to the contents of any contract or any other document are not necessarily complete. If a contract or document has been filed as an exhibit to the registration statement or an exhibit to the reports or other documents incorporated by reference into this prospectus supplement, please see the copy of the contract or document that has been filed. Each statement in this prospectus supplement relating to a contract or document filed as an exhibit is qualified in all respects by the filed exhibit.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an Internet site that contains reports, proxy and information statements, and other information regarding issuers that file electronically with the SEC, including Alpha Teknova, Inc. The SEC’s Internet site can be found at </w:t>
      </w:r>
      <w:r>
        <w:rPr>
          <w:rFonts w:ascii="Times New Roman" w:hAnsi="Times New Roman"/>
          <w:i/>
          <w:sz w:val="20"/>
        </w:rPr>
        <w:t>http://www.sec.gov</w:t>
      </w:r>
      <w:r>
        <w:rPr>
          <w:rFonts w:ascii="Times New Roman" w:hAnsi="Times New Roman"/>
          <w:sz w:val="20"/>
        </w:rPr>
        <w:t xml:space="preserve">. Additional information with respect to us can be found on our website at </w:t>
      </w:r>
      <w:r>
        <w:rPr>
          <w:rFonts w:ascii="Times New Roman" w:hAnsi="Times New Roman"/>
          <w:i/>
          <w:sz w:val="20"/>
        </w:rPr>
        <w:t>www.teknova.com</w:t>
      </w:r>
      <w:r>
        <w:rPr>
          <w:rFonts w:ascii="Times New Roman" w:hAnsi="Times New Roman"/>
          <w:sz w:val="20"/>
        </w:rPr>
        <w:t xml:space="preserve">. Any information contained on, or that can be accessed through, our website is not incorporated by reference into, nor is it in any way part of this prospectus supplement and should not be relied upon in connection with making any decision with respect to an investment in our securities. We have included our website address in this prospectus supplement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oc179208_14"/>
      <w:bookmarkEnd w:id="1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supplement, which means that we can disclose important information to you by referring you to another document filed separately with the SEC. The documents incorporated by reference into this prospectus supplement contain important information that you should read about us.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supplement the information or documents listed below that we have filed with the SEC (Commission File No. 001-40538):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2025 from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21,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 ended March 31, 2026, filed with the SEC on </w:t>
            </w:r>
            <w:hyperlink r:id="rId5">
              <w:r>
                <w:rPr>
                  <w:rStyle w:val="InternetLink"/>
                  <w:rFonts w:ascii="Times New Roman" w:hAnsi="Times New Roman"/>
                  <w:sz w:val="20"/>
                </w:rPr>
                <w:t>May 7, 2026</w:t>
              </w:r>
            </w:hyperlink>
            <w:r>
              <w:rPr>
                <w:rFonts w:ascii="Times New Roman" w:hAnsi="Times New Roman"/>
                <w:sz w:val="20"/>
              </w:rPr>
              <w:t xml:space="preserve">, and for the quarter ended June 30, 2026, filed with the SEC on </w:t>
            </w:r>
            <w:hyperlink r:id="rId6">
              <w:r>
                <w:rPr>
                  <w:rStyle w:val="InternetLink"/>
                  <w:rFonts w:ascii="Times New Roman" w:hAnsi="Times New Roman"/>
                  <w:sz w:val="20"/>
                </w:rPr>
                <w:t>August 6,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 xml:space="preserve">Our Current Reports on Form 8-K (other than portions thereof furnished under Items 2.02 and 7.01 of Form  8-K and exhibits accompanying such reports that relate to such items) filed with the SEC on </w:t>
            </w:r>
            <w:hyperlink r:id="rId7">
              <w:r>
                <w:rPr>
                  <w:rStyle w:val="InternetLink"/>
                  <w:rFonts w:ascii="Times New Roman" w:hAnsi="Times New Roman"/>
                  <w:sz w:val="20"/>
                </w:rPr>
                <w:t>May  6, 2026</w:t>
              </w:r>
            </w:hyperlink>
            <w:r>
              <w:rPr>
                <w:rFonts w:ascii="Times New Roman" w:hAnsi="Times New Roman"/>
                <w:sz w:val="20"/>
              </w:rPr>
              <w:t xml:space="preserve">, and </w:t>
            </w:r>
            <w:hyperlink r:id="rId8">
              <w:r>
                <w:rPr>
                  <w:rStyle w:val="InternetLink"/>
                  <w:rFonts w:ascii="Times New Roman" w:hAnsi="Times New Roman"/>
                  <w:sz w:val="20"/>
                </w:rPr>
                <w:t>June 1,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9">
              <w:r>
                <w:rPr>
                  <w:rStyle w:val="InternetLink"/>
                  <w:rFonts w:ascii="Times New Roman" w:hAnsi="Times New Roman"/>
                  <w:sz w:val="20"/>
                </w:rPr>
                <w:t>Form 8-A</w:t>
              </w:r>
            </w:hyperlink>
            <w:r>
              <w:rPr>
                <w:rFonts w:ascii="Times New Roman" w:hAnsi="Times New Roman"/>
                <w:sz w:val="20"/>
              </w:rPr>
              <w:t xml:space="preserve"> (File No. 001-40538), filed with the SEC on June 24, 2021, including any amendments or reports filed for the purpose of updating such description, including </w:t>
            </w:r>
            <w:hyperlink r:id="rId10">
              <w:r>
                <w:rPr>
                  <w:rStyle w:val="InternetLink"/>
                  <w:rFonts w:ascii="Times New Roman" w:hAnsi="Times New Roman"/>
                  <w:sz w:val="20"/>
                </w:rPr>
                <w:t>Exhibit 4.3</w:t>
              </w:r>
            </w:hyperlink>
            <w:r>
              <w:rPr>
                <w:rFonts w:ascii="Times New Roman" w:hAnsi="Times New Roman"/>
                <w:sz w:val="20"/>
              </w:rPr>
              <w:t xml:space="preserve"> to our Annual Report on Form 10-K for the fiscal year ended December 31, 2025, filed with the SEC on March 2,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supplement forms a part, until we file a post-effective amendment that indicates the termination of the offering of the securities made by this prospectus supplement and such future filings will become a part of this prospectus supplement from the respective dates that such documents are filed with the SEC. Any statement contained herein or in a document incorporated or deemed to be incorporated by reference herein shall be deemed to be modified or superseded for purposes hereof to the extent that a statement contained herein or in any other subsequently filed document which is also incorporated or deemed to be incorporated by reference herein modifies or supersedes such statement. Any such statement so modified or superseded shall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any of the documents incorporated by reference in this prospectus supplement from the SEC through the SEC’s website at the address provided above. Documents incorporated by reference are also available from us, without charge. You may obtain documents incorporated by reference in this prospectus supplement by requesting them in writing or by telephone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Alpha Teknova, Inc. </w:t>
      </w:r>
    </w:p>
    <w:p>
      <w:pPr>
        <w:pStyle w:val="TextBody"/>
        <w:bidi w:val="0"/>
        <w:spacing w:before="0" w:after="0"/>
        <w:jc w:val="center"/>
        <w:rPr>
          <w:rFonts w:ascii="Times New Roman" w:hAnsi="Times New Roman"/>
          <w:sz w:val="20"/>
        </w:rPr>
      </w:pPr>
      <w:r>
        <w:rPr>
          <w:rFonts w:ascii="Times New Roman" w:hAnsi="Times New Roman"/>
          <w:sz w:val="20"/>
        </w:rPr>
        <w:t xml:space="preserve">Attn: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2451 Bert Drive </w:t>
      </w:r>
    </w:p>
    <w:p>
      <w:pPr>
        <w:pStyle w:val="TextBody"/>
        <w:bidi w:val="0"/>
        <w:spacing w:before="0" w:after="0"/>
        <w:jc w:val="center"/>
        <w:rPr>
          <w:rFonts w:ascii="Times New Roman" w:hAnsi="Times New Roman"/>
          <w:sz w:val="20"/>
        </w:rPr>
      </w:pPr>
      <w:r>
        <w:rPr>
          <w:rFonts w:ascii="Times New Roman" w:hAnsi="Times New Roman"/>
          <w:sz w:val="20"/>
        </w:rPr>
        <w:t xml:space="preserve">Hollister, California 95023 </w:t>
      </w:r>
    </w:p>
    <w:p>
      <w:pPr>
        <w:pStyle w:val="TextBody"/>
        <w:bidi w:val="0"/>
        <w:spacing w:before="0" w:after="0"/>
        <w:jc w:val="center"/>
        <w:rPr>
          <w:rFonts w:ascii="Times New Roman" w:hAnsi="Times New Roman"/>
          <w:sz w:val="20"/>
        </w:rPr>
      </w:pPr>
      <w:r>
        <w:rPr>
          <w:rFonts w:ascii="Times New Roman" w:hAnsi="Times New Roman"/>
          <w:sz w:val="20"/>
        </w:rPr>
        <w:t xml:space="preserve">investors@teknova.com </w:t>
      </w:r>
    </w:p>
    <w:p>
      <w:pPr>
        <w:pStyle w:val="TextBody"/>
        <w:bidi w:val="0"/>
        <w:spacing w:before="0" w:after="0"/>
        <w:jc w:val="center"/>
        <w:rPr>
          <w:rFonts w:ascii="Times New Roman" w:hAnsi="Times New Roman"/>
          <w:sz w:val="20"/>
        </w:rPr>
      </w:pPr>
      <w:r>
        <w:rPr>
          <w:rFonts w:ascii="Times New Roman" w:hAnsi="Times New Roman"/>
          <w:sz w:val="20"/>
        </w:rPr>
        <w:t>Phone: 1 (781) 235-3060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25905" cy="2971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525905" cy="2971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Alpha Teknova, Inc. </w:t>
      </w:r>
    </w:p>
    <w:p>
      <w:pPr>
        <w:pStyle w:val="TextBody"/>
        <w:bidi w:val="0"/>
        <w:spacing w:before="240" w:after="0"/>
        <w:jc w:val="center"/>
        <w:rPr>
          <w:rFonts w:ascii="Times New Roman" w:hAnsi="Times New Roman"/>
          <w:b/>
          <w:sz w:val="36"/>
        </w:rPr>
      </w:pPr>
      <w:r>
        <w:rPr>
          <w:rFonts w:ascii="Times New Roman" w:hAnsi="Times New Roman"/>
          <w:b/>
          <w:sz w:val="36"/>
        </w:rPr>
        <w:t xml:space="preserve">$225,000,000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Rights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We may offer and sell, from time to time in one or more offerings, up to $225,000,000 in the aggregate of any combination of the securities identified above from time to time in one or more offerings, either individually or in combination with other securities. We may also offer common stock or preferred stock upon conversion of debt securities, common stock upon conversion of preferred stock, or common stock, preferred stock or debt securities upon the exercise of warrants, rights or units. This prospectus provides you with a general description of the securities that we may offer. </w:t>
      </w:r>
    </w:p>
    <w:p>
      <w:pPr>
        <w:pStyle w:val="TextBody"/>
        <w:bidi w:val="0"/>
        <w:spacing w:before="120" w:after="0"/>
        <w:jc w:val="left"/>
        <w:rPr>
          <w:rFonts w:ascii="Times New Roman" w:hAnsi="Times New Roman"/>
          <w:sz w:val="20"/>
        </w:rPr>
      </w:pPr>
      <w:r>
        <w:rPr>
          <w:rFonts w:ascii="Times New Roman" w:hAnsi="Times New Roman"/>
          <w:sz w:val="20"/>
        </w:rPr>
        <w:t xml:space="preserve">Each time we offer and sell securities, we will provide a supplement to this prospectus that contains specific information about the offering and the amounts, prices and terms of the securities. We may also authorize one or more free writing prospectuses to be provided to you in connection with these offerings. The prospectus, prospectus supplement and any related free writing prospectuses may also add, update or change information contained in this prospectus with respect to that offering. You should carefully read this prospectus and the applicable prospectus supplement and any related free writing prospectus, as well as any documents incorporated by reference, before you invest in any of our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i/>
          <w:sz w:val="24"/>
        </w:rPr>
        <w:t>Investing in our securities involves a high degree of risk. You should review carefully the risks and uncertainties described under the heading “</w:t>
      </w:r>
      <w:hyperlink w:anchor="toc62329_3">
        <w:r>
          <w:rPr>
            <w:rStyle w:val="InternetLink"/>
            <w:rFonts w:ascii="Times New Roman" w:hAnsi="Times New Roman"/>
            <w:b/>
            <w:i/>
            <w:sz w:val="24"/>
          </w:rPr>
          <w:t>Risk Factors</w:t>
        </w:r>
      </w:hyperlink>
      <w:r>
        <w:rPr>
          <w:rFonts w:ascii="Times New Roman" w:hAnsi="Times New Roman"/>
          <w:b/>
          <w:i/>
          <w:sz w:val="24"/>
        </w:rPr>
        <w:t xml:space="preserve">” beginning on page 5 of this prospectus, any applicable prospectus supplement and in any applicable free writing prospectuses, and under similar headings in the documents that are incorporated by reference into this prospectus.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currently listed on the Nasdaq Global Market under the symbol “TKNO”. On July 9, 2025, the last reported sales price for our Common Stock was $5.28 per share. The applicable prospectus supplement will contain information, where applicable, as to any other listing on the Nasdaq Global Market or any securities market or other exchange of the securities, if any, covered by the applicable prospectus supplement. </w:t>
      </w:r>
    </w:p>
    <w:p>
      <w:pPr>
        <w:pStyle w:val="TextBody"/>
        <w:bidi w:val="0"/>
        <w:spacing w:before="12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The date of this prospectus is July 10,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
      <w:bookmarkEnd w:id="17"/>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70"/>
        <w:gridCol w:w="60"/>
        <w:gridCol w:w="265"/>
        <w:gridCol w:w="62"/>
      </w:tblGrid>
      <w:tr>
        <w:trPr/>
        <w:tc>
          <w:tcPr>
            <w:tcW w:w="964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8" w:type="dxa"/>
            <w:tcBorders/>
            <w:vAlign w:val="bottom"/>
          </w:tcPr>
          <w:p>
            <w:pPr>
              <w:pStyle w:val="TableContents"/>
              <w:bidi w:val="0"/>
              <w:spacing w:before="0" w:after="0"/>
              <w:jc w:val="left"/>
              <w:rPr/>
            </w:pPr>
            <w:hyperlink w:anchor="toc62329_1">
              <w:r>
                <w:rPr>
                  <w:rStyle w:val="InternetLink"/>
                  <w:rFonts w:ascii="Times New Roman" w:hAnsi="Times New Roman"/>
                  <w:sz w:val="20"/>
                </w:rPr>
                <w:t>About This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i</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2">
              <w:r>
                <w:rPr>
                  <w:rStyle w:val="InternetLink"/>
                  <w:rFonts w:ascii="Times New Roman" w:hAnsi="Times New Roman"/>
                  <w:sz w:val="20"/>
                </w:rPr>
                <w:t>Summary</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3">
              <w:r>
                <w:rPr>
                  <w:rStyle w:val="InternetLink"/>
                  <w:rFonts w:ascii="Times New Roman" w:hAnsi="Times New Roman"/>
                  <w:sz w:val="20"/>
                </w:rPr>
                <w:t>Risk Factors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4">
              <w:r>
                <w:rPr>
                  <w:rStyle w:val="InternetLink"/>
                  <w:rFonts w:ascii="Times New Roman" w:hAnsi="Times New Roman"/>
                  <w:sz w:val="20"/>
                </w:rPr>
                <w:t>Use of Proceeds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5">
              <w:r>
                <w:rPr>
                  <w:rStyle w:val="InternetLink"/>
                  <w:rFonts w:ascii="Times New Roman" w:hAnsi="Times New Roman"/>
                  <w:sz w:val="20"/>
                </w:rPr>
                <w:t>Disclosure Regarding Forward-Looking Statements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6">
              <w:r>
                <w:rPr>
                  <w:rStyle w:val="InternetLink"/>
                  <w:rFonts w:ascii="Times New Roman" w:hAnsi="Times New Roman"/>
                  <w:sz w:val="20"/>
                </w:rPr>
                <w:t>Description of Capital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7">
              <w:r>
                <w:rPr>
                  <w:rStyle w:val="InternetLink"/>
                  <w:rFonts w:ascii="Times New Roman" w:hAnsi="Times New Roman"/>
                  <w:sz w:val="20"/>
                </w:rPr>
                <w:t>Description of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8">
              <w:r>
                <w:rPr>
                  <w:rStyle w:val="InternetLink"/>
                  <w:rFonts w:ascii="Times New Roman" w:hAnsi="Times New Roman"/>
                  <w:sz w:val="20"/>
                </w:rPr>
                <w:t>Description of Warrants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9">
              <w:r>
                <w:rPr>
                  <w:rStyle w:val="InternetLink"/>
                  <w:rFonts w:ascii="Times New Roman" w:hAnsi="Times New Roman"/>
                  <w:sz w:val="20"/>
                </w:rPr>
                <w:t>Description of Rights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10">
              <w:r>
                <w:rPr>
                  <w:rStyle w:val="InternetLink"/>
                  <w:rFonts w:ascii="Times New Roman" w:hAnsi="Times New Roman"/>
                  <w:sz w:val="20"/>
                </w:rPr>
                <w:t>Description of Units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11">
              <w:r>
                <w:rPr>
                  <w:rStyle w:val="InternetLink"/>
                  <w:rFonts w:ascii="Times New Roman" w:hAnsi="Times New Roman"/>
                  <w:sz w:val="20"/>
                </w:rPr>
                <w:t>Legal Ownership of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12">
              <w:r>
                <w:rPr>
                  <w:rStyle w:val="InternetLink"/>
                  <w:rFonts w:ascii="Times New Roman" w:hAnsi="Times New Roman"/>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13">
              <w:r>
                <w:rPr>
                  <w:rStyle w:val="InternetLink"/>
                  <w:rFonts w:ascii="Times New Roman" w:hAnsi="Times New Roman"/>
                  <w:sz w:val="20"/>
                </w:rPr>
                <w:t>Legal Matters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14">
              <w:r>
                <w:rPr>
                  <w:rStyle w:val="InternetLink"/>
                  <w:rFonts w:ascii="Times New Roman" w:hAnsi="Times New Roman"/>
                  <w:sz w:val="20"/>
                </w:rPr>
                <w:t>Experts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15">
              <w:r>
                <w:rPr>
                  <w:rStyle w:val="InternetLink"/>
                  <w:rFonts w:ascii="Times New Roman" w:hAnsi="Times New Roman"/>
                  <w:sz w:val="20"/>
                </w:rPr>
                <w:t>Where You Can Find More Information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62329_16">
              <w:r>
                <w:rPr>
                  <w:rStyle w:val="InternetLink"/>
                  <w:rFonts w:ascii="Times New Roman" w:hAnsi="Times New Roman"/>
                  <w:sz w:val="20"/>
                </w:rPr>
                <w:t>Important Information Incorporated by Reference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62329_1"/>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Whenever we refer to “Teknova,” “we,” “our” or “us” in this prospectus, we mean Alpha Teknova, Inc., unless the context suggests otherwise. When we refer to “you” or “yours,” we mean the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Securities and Exchange Commission (“SEC”), using a “shelf” registration process. Under this shelf registration process, we may sell any combination of the securities described in this prospectus in one or more offerings, up to a total dollar amount of $225,000,000. This prospectus provides you with a general description of the securities we may offer. Each time we offer to sell securities under this prospectus, we will provide a prospectus supplement that will contain specific information about the terms of that offering. The prospectus supplement may also add, update or change information contained in this prospectus. To the extent that any statement that we make in a prospectus supplement is inconsistent with statements made in this prospectus, the statements made in this prospectus will be deemed modified or superseded by those made in a prospectus supplement. You should read both this prospectus and any prospectus supplement and any free writing prospectus prepared by or on behalf of us, together with the additional information described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prospectus, in an accompanying prospectus supplement or incorporated by reference herein or therein. We have not authorized anyone to provide you with information or make any representation that is different. If anyone provides you with different or inconsistent information, you should not rely on it. This prospectus and any accompanying prospectus supplement do not constitute an offer to sell or a solicitation of an offer to buy any securities other than the registered securities to which they relate, and this prospectus and any accompanying prospectus supplement do not constitute an offer to sell or the solicitation of an offer to buy securities in any jurisdiction where, or to any person to whom, it is unlawful to make such an offer or solicitation. You should not assume that the information contained in this prospectus and any accompanying prospectus supplement is correct on any date after the respective dates of the prospectus and such prospectus supplement or supplements, as applicable, even though this prospectus and such prospectus supplement or supplements are delivered or securities are sold pursuant to the prospectus and such prospectus supplement or supplements at a later date. Since the respective dates of the prospectus contained in this registration statement and any accompanying prospectus supplement, our business, financial condition, results of operations and prospects may have changed.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 We may only sell securities pursuant to this prospectus if this prospectus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into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9" w:name="toc62329_2"/>
      <w:bookmarkEnd w:id="19"/>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any applicable prospectus supplement and any related free writing prospectus, including the risks of investing in our securities discussed under the heading “Risk Factors” contained in this prospectus,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forms a part. Unless otherwise mentioned or unless the context requires otherwise, all references in this prospectus to “Teknova”, “the Company”, “we”, “us”, “our” or similar references mean Alpha Teknova, Inc.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producer of critical reagents for the discovery, development, and commercialization of novel therapies, vaccines, and molecular diagnostics. Our approximately 3,000 customers span the continuum of the life sciences market and include leading pharmaceutical and biotechnology companies, contract development and manufacturing organizations, </w:t>
      </w:r>
      <w:r>
        <w:rPr>
          <w:rFonts w:ascii="Times New Roman" w:hAnsi="Times New Roman"/>
          <w:i/>
          <w:sz w:val="20"/>
          <w:bdr w:val="single" w:sz="8" w:space="1" w:color="000000"/>
        </w:rPr>
        <w:t>in</w:t>
      </w:r>
      <w:r>
        <w:rPr>
          <w:rFonts w:ascii="Times New Roman" w:hAnsi="Times New Roman"/>
          <w:sz w:val="20"/>
          <w:bdr w:val="single" w:sz="8" w:space="1" w:color="000000"/>
        </w:rPr>
        <w:t xml:space="preserve"> </w:t>
      </w:r>
      <w:r>
        <w:rPr>
          <w:rFonts w:ascii="Times New Roman" w:hAnsi="Times New Roman"/>
          <w:i/>
          <w:sz w:val="20"/>
          <w:bdr w:val="single" w:sz="8" w:space="1" w:color="000000"/>
        </w:rPr>
        <w:t>vitro</w:t>
      </w:r>
      <w:r>
        <w:rPr>
          <w:rFonts w:ascii="Times New Roman" w:hAnsi="Times New Roman"/>
          <w:sz w:val="20"/>
          <w:bdr w:val="single" w:sz="8" w:space="1" w:color="000000"/>
        </w:rPr>
        <w:t xml:space="preserve"> diagnostics franchises, and academic and government research institutions. Our Company is built around our knowledge, methods, and know-how in our manufacturing processes and infrastructure, which are highly adaptable and configurable. These proprietary processes enable us to manufacture and deliver high-quality, custom, made-to-order products with short turnaround times and at scale, across all stages of our customers’ product development, including commercialization.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substantial expertise in manufacturing customer-specified formulations and have demonstrated the ability to manufacture and deliver our products to customers quickly. Due to our expertise in raw materials sourcing, chemical formulation, and quality control, developed over more than two decades, we are typically able to move a new custom product into production in a matter of weeks from order receipt. This can allow our customers to receive their products in weeks as compared to months from alternative suppliers operating in traditional production environments. Our processes are designed to handle a diverse array of customer-requested inputs, which may vary by volume, chemical formulation, quality specifications, container types, and transportation requirements, enabling broad use of our products across the life sciences market. Our proprietary capabilities and products underpin the value we provide to customers across their product development and commercialization activities and allow us to scale with our clients as they grow, supporting their need for materials in greater volumes and that meet increasingly stringent regulatory requirements.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offer three primary product types: pre-poured media plates for cell growth and cloning; liquid cell culture media and supplements for cellular expansion; and molecular biology reagents for sample manipulation, resuspension, and purification. We typically begin working with customers in the discovery phase of development, in which they use our off-the-shelf (catalog) formulations for initial experimentation. As customers’ product development progresses and they begin to need products with improved performance, in greater volumes, or that meet good manufacturing practice (“GMP”) requirements (see below), they routinely go on to order higher value, custom, or GMP-grade products. We believe the bespoke nature of our portfolio makes us a critical, trusted supplier to our customers.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Due to extensive validation and customer loyalty owing, in part, to fast turnaround times for our custom products, our customers frequently integrate them as components into the lifecycle of their own products and, we believe, are therefore unlikely to substitute Teknova’s components with alternatives. As a result, our customer relationships typically span many years and help drive recurring business. Moreover, we are committed to delivering high levels of customer satisfaction through continued investment in our customer service, operating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infrastructure, quality systems, and manufacturing processes. During 2024, we achieved an annual customer retention rate of approximately 95% for customers purchasing more than $10,000 annually, which represented approximately 15% of our customer base and approximately 90% of our annual revenue during that period. We believe the Teknova brand is well established in the United States (“U.S.”) life sciences industry as a result of our track record of delivering high quality, custom products and providing superior customer service.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participate in multiple market segments because customers use our products across the life sciences industry, including in high growth areas like cell and gene therapy research, development, and production. In the five years from late 2017 through 2022, the U.S. Food &amp; Drug Administration (“FDA”) approved five gene therapies for rare genetic diseases. Meanwhile, 2023 was a breakthrough year for cell and gene therapies, with seven FDA approvals in the U.S. and one in the European Union (“EU”), according to the Alliance for Regenerative Medicine. The cell and gene therapy sector experienced another transformative year in 2024 with nine FDA approvals in the U.S. and two in the EU according to the Alliance for Regenerative Medicine. Looking to 2025, the Alliance for Regenerative Medicine estimates that the sector could see up to a combined 24 approvals in the U.S. and EU.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our prospects for growth will also benefit from developments in other fields, including mRNA vaccines, synthetic biology, and molecular diagnostics and genomics. We believe the key industry factors that will drive our future growth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for custom reagents for purification in the development of emerging therapeutic modalities such as cell and gene therapies, mRNA, and next-generation antibodies;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growing demand for a single, adaptable, end-to-end provider that can offer both “research use only” (“RUO”) as well as GMP-grade, custom, made-to-order products with short turnaround times;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importance of GMP-grade products in a development and manufacturing process that is subject to complex and stringent regulatory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suppliers capable of quickly scaling production volumes up and down in response to customer needs;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increasing demand to move to single-use bioreactors, which results in increased use of build sizes less than 1,500 liters.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nature of many of our products and their uses require that they be manufactured by highly skilled personnel in contamination-controlled environments, following exacting procedures to ensure quality. We manufacture our products at our facilities in Hollister, California, which were purpose-built to address our customers’ needs for custom-made, RUO, or GMP-grade input components.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 complete description of our business, financial condition, results of operations and other important information, we refer you to our filings with the SEC that are incorporated by reference in this prospectus, including our Annual Report on Form 10-K for the year ended December 31, 2024 and our Quarterly Report on Form 10-Q for the quarter ended March 31, 2025, each as amended, supplemented or superseded from time to time by other reports we file with the SEC in the future, which are incorporated by reference into this prospectus. For instructions on how to find copies of these documents, see “Where You Can Find More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the section entitled “Risk Factors” in this prospectus for a discussion of some of the risks relating to the execution of our business strategy.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was founded in 1996 and initially incorporated in California on May 30, 2000, under the name “eTeknova, Inc.” On January 11, 2019, the Company filed a certificate of merger and merged with and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Alpha Teknova, Inc., a Delaware corporation, which continued as the surviving entity bearing the corporate name of “Alpha Teknova,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2021, we completed the initial public offering of our common stock. Our common stock trades on the Nasdaq Global Market under the symbol “TKNO”. Telegraph Hill Partners Management Company LLC, through its affiliates Telegraph Hill Partners IV, L.P. and THP IV Affiliates Fund, LLC, continues to be our controlling stockholder.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Principal Executive Offices and Additional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2451 Bert Dr., Hollister, California 95023. Our telephone number is (831) 637-1100. Our website address is </w:t>
      </w:r>
      <w:r>
        <w:rPr>
          <w:rFonts w:ascii="Times New Roman" w:hAnsi="Times New Roman"/>
          <w:i/>
          <w:sz w:val="20"/>
          <w:bdr w:val="single" w:sz="8" w:space="1" w:color="000000"/>
        </w:rPr>
        <w:t>www.teknova.com</w:t>
      </w:r>
      <w:r>
        <w:rPr>
          <w:rFonts w:ascii="Times New Roman" w:hAnsi="Times New Roman"/>
          <w:sz w:val="20"/>
          <w:bdr w:val="single" w:sz="8" w:space="1" w:color="000000"/>
        </w:rPr>
        <w:t xml:space="preserve">. Any information contained on, or that can be accessed through, our website is not incorporated by reference into nor is it in any way part of this prospectus and should not be relied upon in connection with making any decision with respect to an investment in our securities. We are required to file annual, quarterly and current reports, proxy statements and other information with the SEC. You may obtain any of the documents filed by us with the SEC at no cost from the SEC’s website at </w:t>
      </w:r>
      <w:r>
        <w:rPr>
          <w:rFonts w:ascii="Times New Roman" w:hAnsi="Times New Roman"/>
          <w:i/>
          <w:sz w:val="20"/>
          <w:bdr w:val="single" w:sz="8" w:space="1" w:color="000000"/>
        </w:rPr>
        <w:t>http://www.sec.gov</w:t>
      </w:r>
      <w:r>
        <w:rPr>
          <w:rFonts w:ascii="Times New Roman" w:hAnsi="Times New Roman"/>
          <w:sz w:val="20"/>
          <w:bdr w:val="single" w:sz="8" w:space="1" w:color="000000"/>
        </w:rPr>
        <w:t xml:space="preserve">. We have included our website address in this prospectus solely as an inactive textual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U.S. Jumpstart Our Business Startups Act of 2021, as amended (“JOBS Act”). For as long as we qualify as an emerging growth company, we may take advantage of certain exemptions from various reporting requirements and other burdens that are otherwise applicable generally to public companies. These provisions include, but are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obligations with respect to financial data, including presenting only two years of audited financial statements;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auditor attestation requirements of Section 404 of the Sarbanes-Oxley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in our periodic reports, proxy statements, and registration statements;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non-binding advisory votes on executive compensation or golden parachute arrangements.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under the JOBS Act, emerging growth companies can delay adopting new or revised accounting standards until such time as those standards apply to private companies. We have elected to avail ourselves of this exemption from adopting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reporting exemptions until we no longer qualify as an emerging growth company, or, with respect to adoption of certain new or revised accounting standards, until we irrevocably elect to opt out of using the extended transition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JOBS Act, we will remain an emerging growth company until the earliest of: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in which we have total annual gross revenues of $1.235 billion or more;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our fiscal year following the fifth anniversary of the date of the closing of our initial public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we have issued more than $1.0 billion in nonconvertible debt during the previous three years;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we are deemed to be a “large accelerated filer” under the Securities Exchange Act of 1934, as amended (the “Exchange Act”) (i.e., the first day of the fiscal year after we have (i) more than $700.0 million in outstanding common equity held by our non-affiliates, measured each year on the last business day of our most recently completed second fiscal quarter, and (ii) been public for at least 12 months).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(i) the market value of our voting and non-voting common stock held by non-affiliates equals or exceeds $250.0 million measured on the last business day of our most recently completed second fiscal quarter, and our annual revenues are more than $100.0 million during the most recently completed fiscal year or (ii) the market value of our voting and non-voting common stock held by non-affiliates equals or exceeds $700.0 million measured on the last business day of our most recently completed second fiscal quarter. As a result, the information in this prospectus and that we provide to our investors in the future may be different than what you might receive from other public reporting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62329_3"/>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any securities offered pursuant to this prospectus, the applicable prospectus supplement and any related free writing prospectus involves a high degree of risk. Before making an investment decision, you should carefully consider the risks described under “Risk Factors” in any applicable prospectus supplement, any related free writing prospectus and in our most recent Annual Report on Form 10-K, or in any updates in our Quarterly Reports on Form 10-Q, together with all of the other information appearing in or incorporated by reference into this prospectus and any applicable prospectus supplement and any related free writing prospectus, before deciding whether to purchase any of the securities being offered. Our business, financial condition or results of operations could be materially adversely affected by any of these risks. The occurrence of any of these risks might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62329_4"/>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the applicable prospectus supplement or in any free writing prospectuses we have authorized for use in connection with a specific offering, we currently intend to use the net proceeds from the sale of securities offered by this Prospectus, if any, for working capital and general corporate purposes, which may include expenditures to increase our manufacturing capacity and related operational capabilities, improve operating efficiency, scale up our marketing, sales and research and development staff, increase brand awareness, develop new products and services and attract new customers, pursue business combinations and repay, refinance, redeem or repurchase our indebtedness or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intended application of proceeds from the sale of any particular offering of securities using this prospectus will be described in the accompanying prospectus supplement relating to such offering. The precise amount and timing of the application of these proceeds will depend upon a number of factors, such as the timing and progress of our growth, our funding requirements, and the availability and costs of other funds. Pending application of the net proceeds as described above, we intend to temporarily invest the proceeds in short-term, interest-bearing instruments. </w:t>
      </w:r>
    </w:p>
    <w:p>
      <w:pPr>
        <w:pStyle w:val="TextBody"/>
        <w:bidi w:val="0"/>
        <w:spacing w:before="240" w:after="0"/>
        <w:jc w:val="left"/>
        <w:rPr>
          <w:rFonts w:ascii="Times New Roman" w:hAnsi="Times New Roman"/>
          <w:sz w:val="20"/>
        </w:rPr>
      </w:pPr>
      <w:r>
        <w:rPr>
          <w:rFonts w:ascii="Times New Roman" w:hAnsi="Times New Roman"/>
          <w:sz w:val="20"/>
        </w:rPr>
        <w:t xml:space="preserve">We may bear all other costs, fees and expenses incurred in effecting the registration of the shares covered by this prospectus, including, without limitation, all registration and filing fees, Nasdaq Global Market listing fees, and fees and expenses of our counsel and our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62329_5"/>
      <w:bookmarkEnd w:id="22"/>
      <w:r>
        <w:rPr>
          <w:rFonts w:ascii="Times New Roman" w:hAnsi="Times New Roman"/>
          <w:b/>
          <w:sz w:val="20"/>
        </w:rPr>
        <w:t xml:space="preserve">DISCLOSURE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accompanying prospectus supplement and the documents incorporated by reference into this prospectus may contain forward-looking statements within the meaning of Section 27A of the Securities Act of 1933, as amended (the “Securities Act”), and Section 21E of the Exchange Act, that are subject to risks and uncertainties. We intend for such forward-looking statements to be covered by the safe harbor provisions for forward-looking statements contained in the Private Securities Litigation Reform Act of 1995 and include this statement for purposes of complying with these safe harbor provisions. These forward-looking statements include information about possible, estimated or assumed future results of our business, financial condition, liquidity, results of operations, plans and objectives. Forward-looking statements are generally identifiable by use of forward-looking terminology such as “may,” “will,” “should,” “potential,” “intend,” “expect,” “anticipate,” “estimate,” “approximately,” “believe,” “could,” “project,” “predict,” or other similar words or expressions. </w:t>
      </w:r>
    </w:p>
    <w:p>
      <w:pPr>
        <w:pStyle w:val="TextBody"/>
        <w:bidi w:val="0"/>
        <w:spacing w:before="240" w:after="0"/>
        <w:jc w:val="left"/>
        <w:rPr>
          <w:rFonts w:ascii="Times New Roman" w:hAnsi="Times New Roman"/>
          <w:sz w:val="20"/>
        </w:rPr>
      </w:pPr>
      <w:r>
        <w:rPr>
          <w:rFonts w:ascii="Times New Roman" w:hAnsi="Times New Roman"/>
          <w:sz w:val="20"/>
        </w:rPr>
        <w:t xml:space="preserve">Such forward-looking statements are based on our beliefs, assumptions, and expectations of our future performance taking into account all information currently known to us. These beliefs, assumptions, and expectations can change as a result of many potential events or factors, not all of which are known to us. We caution our stockholders and other readers not to place undue reliance on such statements. If a change occurs, our business, financial condition, liquidity, results of operations, plans, and other objectives may vary materially from those expressed in our forward-looking statements. You should carefully consider this risk when you make an investment decision concerning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statements in this prospectus, or incorporated herein by reference, about our expectations, beliefs, plans, objectives, assumptions or future events or performance are not historical facts and are forward-looking statements. These statements are subject to known and unknown risks, uncertainties and assumptions that could cause actual results to differ materially from those projected or otherwise implied by the forward-looking statements,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market or business conditions as well as those in the specific industry and markets in which our business operates that may impact customer demand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meet our publicly announced guidance or other expectations about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financial performance, including our revenue, costs of revenue, and operating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expand our operations and increase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uses of cash in the short and long terms and the sufficiency of our sources of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defend against claims and mitigate adverse results from any legal proceedings against us and the merits of any claims or suits against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recent history of losses and our 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limit our accounts receivable and credit risk exposure;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investments, if any, in additional facilities to facilitate our expected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uses of capital to pursue potential acquisitions, if any, that further or accelerate our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use of equity or debt financings to execute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take advantage of certain exemptions from various reporting requirements generally applicable to public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period during which we qualify as an emerging growth company under the JOBS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pandemic, epidemic, or outbreak of infectious disease (including COVID-19), natural disasters, geopolitical unrest, war (including in Ukraine and the Israeli-Hamas war), terrorism, public health issues or other catastrophic events may have on our business and our ability to actively manage our response to these types of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adoption of critical accounting policies and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the scale and capacity of, or otherwise effectively adjust, our manufacturing processes and systems in response to market demands;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increased competition from additional companies entering the market and the availability of more advanced technologies in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hire and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capital on favorable terms,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future revenue growth in market segments such as molecular diagnostics, synthetic biology, and emerging therapeutic modalities;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increased costs on our operations, including materials, labor, inflation, and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use cash on hand to meet current and future financial obligations, including funding our operations, debt service requirements, and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enforceability of our exclusive forum provisions in our amended and restated certificate of incorporation;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customers’ sensitivity to product nonconformances, defects, and errors;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exemption of our products from compliance with the U.S. Food, Drug and Cosmetic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secure and maintain a stable supply of raw materials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 corporate culture that contributes to our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marketability of our products across a wide range of markets and the probability of success or revenue opportunity in our target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U.S., including with respect to the FDA,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revenue recognition rules and other factors on our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and enforce intellectual property protection for our current and future products, including our ability to protect our trade secrets, trademarks, and trade names;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ongoing expenses associated with being a public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use of proceeds of any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or any accompanying prospectus supplement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Part I—Item 1A, “Risk Factors”, in our Annual Report on Form 10-K for the year ended December 31, 2024 and Part II—Item 1A, “Risk Factors”, in our Quarterly Report on Form 10-Q for the quarter ended March 31, 2025, and in other filings with the SEC, which may be amended, supplemented or superseded from time to time by other reports we file with the SEC in the future, that are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assume that the information appearing in this prospectus, any accompanying prospectus supplement, any related free writing prospectus and any document incorporated herein by reference is accurate as of its date only. Our business, financial condition, results of operations and prospects may have changed since those dates.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62329_6"/>
      <w:bookmarkEnd w:id="23"/>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Matters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our authorized capital stock consisted of 500,000,000 shares, consisting of (i) 490,000,000 shares of common stock, par value $0.00001 per share, and (ii) 10,000,000 shares of preferred stock, par value $0.00001 per share. Subject to applicable rules of The Nasdaq Stock Market LLC (Nasdaq Rules), our board of directors is authorized, without stockholder approval, to issue additional shares of our capital stock. As of March 31, 2025, there were 53,437,060 shares of our common stock issued and outstanding and no shares of preferred stock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common stock are entitled to receive ratably those dividends, if any, that may be declared from time to time by our board of directors out of funds legally available, subject to preferences that may be applicable to preferred stock, if any, then outstanding. Any future determination to pay dividends on our capital stock will be subject to applicable laws, and will depend on our earnings, if any, financial condition, results of operations, capital requirements and such other factors that our board of directors deems relevant. In particular, the terms of our Second Amended and Restated Credit and Security Agreement (Term Loan) with MidCap Financial Trust (“MidCap”) as agent and lender, and the additional lenders from time to time party thereto and the Second Amended and Restated Credit and Security Agreement (Revolving Loan) with MidCap as agent and lender, and the additional lenders from time to time party thereto, prohibits us from paying dividends, other than dividends payable in our stock without the prior written consent of the lender. Our future ability to pay cash dividends on our common stock may also be limited by the terms of any future debt or preferred securities we may issue or any future credit facilities we may enter into.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common stock are entitled to one vote per share on all matters to be voted upon by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 to Receive Liquidation Distributions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liquidation, dissolution or winding up of our Company, the holders of common stock will be entitled to share ratably in all assets remaining after payment of liabilities, subject to prior distribution rights of preferred stock, if any, then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Preemptive or Similar Rights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will have no preemptive or conversion rights or other subscription rights. There are no redemption or sinking fund provisions applicable to the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“TKNO”.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authorizes our board of directors, subject to limitations prescribed by Delaware law, to issue up to 10,000,000 shares of our preferred stock in one or more series, to determine and fix from time to time the number of shares to be included in each such series and to fix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designations, powers, rights and preferences of the shares of each such series, and the qualifications, limitations and restrictions thereof, including voting rights (if any), dividend rights, dissolution rights, conversion rights, exchange rights and redemption rights, in each case without further vote or action by our stockholders. Our board of directors can also increase or decrease the number of shares of any such series, but not below the number of shares of such series then outstanding, without any further vote or action by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and may adversely affect the market price of our common stock and the voting and other rights of the holders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Our investors’ rights agreement, dated as of January 14, 2019, with certain of our stockholders identified therein grants such stockholders certain registration rights in respect of the “registrable securities” held by them, which securities include (i) any common stock held by investors party to our investors’ rights agreement at the time of this offering; (ii) any common stock issued or issuable, directly or indirectly, upon conversion and/or exercise of any of our other securities held by the investors party to our investors’ rights agreement; and (iii) any common stock issued as, or issuable upon the conversion or exercise of any warrant, right, or other security that is issued as, a dividend or other distribution with respect to, or in exchange for or in replacement of, the securities in clauses (i), and (ii). The registration of shares of our common stock pursuant to the exercise of these registration rights would enable the holders thereof to sell such shares without restriction under the Securities Act when the applicable registration statement is declared effective. Under our investors’ rights agreement, we will pay all expenses relating to such registrations, including the fees of one counsel for the participating holders, and the holders will pay all underwriting discounts, commissions and stock transfer taxes relating to the sale of their shares. Our investors’ rights agreement also includes customary indemnification and procedural terms. </w:t>
      </w:r>
    </w:p>
    <w:p>
      <w:pPr>
        <w:pStyle w:val="TextBody"/>
        <w:bidi w:val="0"/>
        <w:spacing w:before="240" w:after="0"/>
        <w:jc w:val="left"/>
        <w:rPr>
          <w:rFonts w:ascii="Times New Roman" w:hAnsi="Times New Roman"/>
          <w:sz w:val="20"/>
        </w:rPr>
      </w:pPr>
      <w:r>
        <w:rPr>
          <w:rFonts w:ascii="Times New Roman" w:hAnsi="Times New Roman"/>
          <w:sz w:val="20"/>
        </w:rPr>
        <w:t xml:space="preserve">These registration rights will expire on the earlier of (i) a deemed liquidation event, subject to certain exceptions; (ii) a transaction in which a person or group of related persons acquires more than 50% of our outstanding voting stock, subject to certain exceptions; and (iii) such time as Rule 144 of the Securities or another similar exemption under the Securities Act is available for the sale of all of such holder’s shares without limitation during a three-month period without registration.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Demand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not less than 50% of the registrable securities then outstanding may request that we file a registration statement on Form S-1 with respect to at least 40% of the then-outstanding registrable securities (or a lesser percentage if the anticipated aggregate offering price, net of selling expenses, would exceed $15.0 million).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not less than 30% of the registrable shares then outstanding may request that we file a registration statement on Form S-3 with respect to such holders’ registrable securities then outstanding, if the aggregate offering price of the registrable securities, net of selling expenses, is expected to exceed $5.0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Piggyback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we propose to register any of our securities under the Securities Act, either for our own account or for the account of other security holders, the stockholders party to our investors’ rights agreement are entitled to certain “piggyback” registration rights allowing them to include their registrable securities in such registration, subject to certain marketing and other limitations. As a result, whenever we propose to file a registration statement under the Securities Act other than with respect to a demand registration, a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 on Form S-4 or S-8 or a registration to register debt securities and underlying common stock, these holders are entitled to notice of the registration and will have the right to include their registrable securities in the registration subject to certain limitations.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Matters in our Governing Documents and Under Delaware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along with our amended and restated certificate of incorporation and our amended and restated bylaws, all of which are summarized below, may have the effect of delaying, deferring or discouraging another person from acquiring control of our Company. These provisions are expected to discourage coercive takeover practices and inadequate takeover bids. These provisions are also designed, in part, to encourage persons seeking to acquire control of our Company to first negotiate with our board of directors. However, these provisions could have the effect of delaying, discouraging or preventing attempts to acquire us, which could deprive our stockholders of opportunities to sell their shares of common stock at prices higher than prevailing market prices.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but unissued shares of common stock and preferred stock are available for future issuance without stockholder approval, subject to any limitations imposed by Nasdaq Rules.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our board of directors is divided into three classes, with the classes as nearly equal in number as possible and each class serving three-year staggered terms.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also provides that the total number of directors shall be determined from time to time exclusively by our board of directors; </w:t>
      </w:r>
      <w:r>
        <w:rPr>
          <w:rFonts w:ascii="Times New Roman" w:hAnsi="Times New Roman"/>
          <w:i/>
          <w:sz w:val="20"/>
        </w:rPr>
        <w:t>provided</w:t>
      </w:r>
      <w:r>
        <w:rPr>
          <w:rFonts w:ascii="Times New Roman" w:hAnsi="Times New Roman"/>
          <w:sz w:val="20"/>
        </w:rPr>
        <w:t xml:space="preserve"> that, at any time Telegraph Hill Partners IV, L.P. (“THP LP”) and its affiliate THP IV Affiliates Fund, LLC (“THP LLC”, and together with THP LP, “THP”) beneficially owns, in the aggregate, at least 50% in voting power of the then-outstanding shares of stock of the Company entitled to vote generally in the election of directors, the stockholders may also fix the number of directors by resolution adopted by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Vacancies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subject to the rights of holders of any series of our preferred stock, directors may be removed with or without cause by the affirmative vote of the holders of a majority in voting power of the then-outstanding shares of stock of our Company entitled to vote generally in the election of such directors; </w:t>
      </w:r>
      <w:r>
        <w:rPr>
          <w:rFonts w:ascii="Times New Roman" w:hAnsi="Times New Roman"/>
          <w:i/>
          <w:sz w:val="20"/>
        </w:rPr>
        <w:t>provided, however</w:t>
      </w:r>
      <w:r>
        <w:rPr>
          <w:rFonts w:ascii="Times New Roman" w:hAnsi="Times New Roman"/>
          <w:sz w:val="20"/>
        </w:rPr>
        <w:t xml:space="preserve">, that, from and after the time that THP first ceases to beneficially own more than 50% in voting power of the then-outstanding shares of stock of the Company entitled to vote generally in the election of directors (the “THP Trigger Event”), any such director or all such directors may be removed only for cause and only by the affirmative vote of the holders of at least 66 2/3% in voting power of all the then-outstanding shares of stock of our Company entitled to vote thereon,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provides that, subject to the rights of the holders of any series of our preferred stock and except as otherwise provided therein, any vacancy resulting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death, resignation, removal or disqualification of a director or other cause, or any newly created directorship in the board of directors, may be filled by a majority of the directors then in office or by our stockholders; </w:t>
      </w:r>
      <w:r>
        <w:rPr>
          <w:rFonts w:ascii="Times New Roman" w:hAnsi="Times New Roman"/>
          <w:i/>
          <w:sz w:val="20"/>
        </w:rPr>
        <w:t>provided, however</w:t>
      </w:r>
      <w:r>
        <w:rPr>
          <w:rFonts w:ascii="Times New Roman" w:hAnsi="Times New Roman"/>
          <w:sz w:val="20"/>
        </w:rPr>
        <w:t xml:space="preserve">, that from and after the THP Trigger Event, any vacancy resulting from the death, resignation, removal or disqualification of a director or other cause, or any newly created directorship in the board of directors, shall be filled only by a majority of the directors then in office and shall not be filled by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may have the effect of deferring, delaying, or discouraging hostile takeovers, changes in control of us or changes in our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Law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we will opt out of Section 203 (“Section 203”) of the General Corporation Law of the State of Delaware, as amended (“DGCL”), until such time as THP beneficially owns, in the aggregate, less than a majority of the total voting power of all the then-outstanding shares of stock of our Company entitled to vote generally in the election of directors, at which time we shall immediately and automatically become governed by Section 203. </w:t>
      </w:r>
    </w:p>
    <w:p>
      <w:pPr>
        <w:pStyle w:val="TextBody"/>
        <w:bidi w:val="0"/>
        <w:spacing w:before="240" w:after="0"/>
        <w:jc w:val="left"/>
        <w:rPr>
          <w:rFonts w:ascii="Times New Roman" w:hAnsi="Times New Roman"/>
          <w:sz w:val="20"/>
        </w:rPr>
      </w:pPr>
      <w:r>
        <w:rPr>
          <w:rFonts w:ascii="Times New Roman" w:hAnsi="Times New Roman"/>
          <w:sz w:val="20"/>
        </w:rPr>
        <w:t xml:space="preserve">Section 203 prohibits persons deemed to be “interested stockholders” from engaging in a “business combination” with a publicly held Delaware corporation for three years following the date such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that are not approved in advance by our board, including discouraging attempts that might result in a premium over the market price for the shares of common stock held by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THP (together with its affiliates, successors and assigns) will not be deemed to be an “interested stockholder” regardless of the percentage of ownership of the total voting power of all the then-outstanding shares of stock of our entitled to vote generally in the election of directors beneficially owned by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of the shares of our stock entitled to vote generally in the election of directors are able to elect all of our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subject to the rights of the holders of any series of preferred stock with respect to such series of preferred stock, special meetings of stockholders may only be called by order of the Chairman of our board of directors, our board of directors or our Chief Executive Officer; </w:t>
      </w:r>
      <w:r>
        <w:rPr>
          <w:rFonts w:ascii="Times New Roman" w:hAnsi="Times New Roman"/>
          <w:i/>
          <w:sz w:val="20"/>
        </w:rPr>
        <w:t>provided, however</w:t>
      </w:r>
      <w:r>
        <w:rPr>
          <w:rFonts w:ascii="Times New Roman" w:hAnsi="Times New Roman"/>
          <w:sz w:val="20"/>
        </w:rPr>
        <w:t xml:space="preserve">, that at any time prior to the THP Trigger Event, special meetings of our stockholders shall also be called by or at the direction of our board of directors or the Chairman of our board of directors at the request of THP. Our amended and restated bylaws prohibit the conduct of any business at a special meeting other than as specified in the notice for such meeting. These provisions may have the effect of deferring, delaying, or discouraging hostile takeovers or changes in control or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Director Nominations and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must comply with advance notice requirements and provide us with certain information. </w:t>
      </w:r>
    </w:p>
    <w:p>
      <w:pPr>
        <w:pStyle w:val="TextBody"/>
        <w:bidi w:val="0"/>
        <w:spacing w:before="240" w:after="0"/>
        <w:jc w:val="left"/>
        <w:rPr>
          <w:rFonts w:ascii="Times New Roman" w:hAnsi="Times New Roman"/>
          <w:sz w:val="20"/>
        </w:rPr>
      </w:pPr>
      <w:r>
        <w:rPr>
          <w:rFonts w:ascii="Times New Roman" w:hAnsi="Times New Roman"/>
          <w:sz w:val="20"/>
        </w:rPr>
        <w:t xml:space="preserve">Generally, to be timely, a stockholder’s notice must be received at our principal executive offices not less than 90 days nor more than 120 days prior to the first anniversary date of the immediately preceding annual meeting of stockholders. Our amended and restated bylaws specify requirements as to the form and content of a stockholder’s notice. Our amended and restated bylaws allow the chair of a meeting of the stockholders to adopt rules and regulations for the conduct of that meeting that may have the effect of precluding the conduct of certain business at that meeting if the rules and regulations are not followed. These provisions may also defer, delay, or discourage a potential acquirer from conducting a solicitation of proxies to elect the acquirer’s own slate of directors or otherwise attempting to influence or obtain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the certificate of incorporation provides otherwise. Our amended and restated certificate of incorporation precludes stockholder action by written consent upon the occurrence of the THP Trigger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Certificate of Incorporation or Bylaws </w:t>
      </w:r>
    </w:p>
    <w:p>
      <w:pPr>
        <w:pStyle w:val="TextBody"/>
        <w:bidi w:val="0"/>
        <w:spacing w:before="120" w:after="0"/>
        <w:jc w:val="left"/>
        <w:rPr>
          <w:rFonts w:ascii="Times New Roman" w:hAnsi="Times New Roman"/>
          <w:sz w:val="20"/>
        </w:rPr>
      </w:pPr>
      <w:r>
        <w:rPr>
          <w:rFonts w:ascii="Times New Roman" w:hAnsi="Times New Roman"/>
          <w:sz w:val="20"/>
        </w:rPr>
        <w:t xml:space="preserve">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upon the occurrence of the THP Trigger Event, the affirmative vote of the holders of at least 66 2/3% of the voting power of the then-outstanding shares of stock entitled to vote thereon, voting together as a single class, is required to alter, amend or repeal the following provisions of our amended and restated certificate of incorporation: Article V (Board of Directors), Article VI (Consent of Stockholders in Lieu of Meeting; Special Meetings of Stockholders), Article VII (Limitation of Liability), Article VIII (Corporate Opportunities and Competition), Article IX (Exclusive Forum), and Article X (Section 203 of the DGCL), and Article XI (Amendment of Certificate of Incorporation and Bylaws).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provide that, upon the occurrence of the THP Trigger Event, the affirmative vote of the holders of at least 66 2/3% of the voting power of the then-outstanding shares of stock entitled to vote thereon, voting together as a single class, is required to alter, amend or repeal our amended and restated bylaws.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DGCL,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to the fullest extent permitted by law, be the sole and exclusive forum for (i) any derivative action or proceeding brought on our behalf, (ii) any action asserting a claim of breach of a fiduciary duty owed by any of our current or former directors, officers, employees or stockholders to us or our stockholders, (iii) any action asserting a claim against us or any of our current or former directors, officers, employees or stockholders arising pursuant to any provision of the DGCL or of our amended and restated certification of incorporation or our amended and restated bylaws, (iv) any claim or cause of action seeking to interpret, apply, enforce or determine the validity of our amended and restated certification of incorporation or our amended and restated bylaws, (v) any action or proceeding asserting a claim against us or any of our current or former directors, officers, employees or stockholders as to which the DGCL confers jurisdiction to the Court of Chancery of the State of Delaware, or (vi) any action asserting a claim governed by the internal affairs doctrine of the law of the State of Delaware. The foregoing exclusive forum provisions will not apply to claims arising under the Exchange Act or any other claim for which the federal courts have exclusive jurisdiction.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provides that, unless we consent in writing to the selection of an alternative forum, the federal district courts of the United States of America shall be the exclusive forum for the resolution of any complaint asserting a cause of action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these provisions benefit us by providing increased consistency in the application of applicable law in the types of lawsuits to which they apply, the provisions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It is possible that, in connection with any applicable action brought against us, a court could find the choice of forum provisions contained in our amended and restated certificate of incorporation to be inapplicable or unenforceable in such action. Any person or entity purchasing or otherwise acquiring any interest in shares of our capital stock shall be deemed to have notice of and consented to the forum provisions in our amended and restated certificate of incorporation.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of Liability and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contain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their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or omissions not in good faith or that involve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in violation of the DGCL;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if the DGCL is amended to permit further elimination or limitation of the personal liability of directors, then the liability of our directors will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bylaws will provide that we shall indemnify any person who is or was a director or officer of ours or who is or was serving at our request as a director, officer, trustee, employee or agent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another corporation, limited liability company, partnership, joint venture, trust, employee benefit plan or other enterprise, or who is or was a party to, is threatened to be made a party to, or is otherwise involved in any threatened, pending or completed action, suit or proceeding, whether civil, criminal, administrative, or investigative based on such person’s actions in his or her official capacity as a director, officer, trustee, employee or agent of ours, in each case against all liability and loss suffered (including, without limitation, any judgments, fines, excise taxes and penalties arising under the Employee Retirement Income Security Act of 1974, and amounts paid in settlement) actually and reasonably incurred by or on behalf of such person in connection therewith, subject to certain conditions. In addition, our amended and restated bylaws will provide that we may, to the fullest extent permitted by law, (i) advance expenses incurred by or on behalf of a director or officer in advance of the final disposition of any action or proceeding, subject to certain exceptions, and (ii) purchase and maintain insurance, at our expense, to protect us and any person who is or was a director, officer, employee or agent of ours or is or was a director, officer, employee or agent of ours serving at our request as a director, officer, employee or agent of another corporation, limited liability company, partnership, joint venture, trust, employee benefit plan or other enterprise against any liability, expense or loss, whether or not we would have the power or obligation to indemnify such person against such liability, expense or loss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and expect to continue to enter into agreements to indemnify and advance expenses to our directors, officers and other employees as determined by our board of directors. These agreements, among other things, require us to indemnify each the applicable indemnitee to the fullest extent permitted by Delaware law, including indemnification of expenses such as attorneys’ fees, judgments, penalties, fines and settlement amounts actually and reasonably incurred by such indemnitee in any action or proceeding, including any action or proceeding by or in right of us, arising out of the person’s services as a director or executive officer. We believe that these indemnification and advancement provisions and insurance provisions of our amended and restated bylaws and indemnification agreements are necessary to attract and retain qualified persons as directors and officers. We also maintain directors’ and officers’ liability insurance.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indemnification provisions of our amended and restated certificate of incorporation, our amended and restated bylaws and our indemnification agreements is not complete and is qualified in its entirety by reference to these documents, each of which is filed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Certain of our non-employee directors may, through their relationships with their employers, be insured or indemnified against certain liabilities incurred in their capacity as members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In addition, your investment may be adversely affected to the extent we pay the costs of settlement and damage awards against directors and officers pursuant to these indemnification provisions. Insofar as indemnification for liabilities arising under the Securities Act may be permitted to directors or executive officers, we have been informed that in the opinion of the SEC such indemnification is against public policy and is therefore unenforceable. At present, there is no pending litigation or proceeding involving a director or officer of the Company regarding which indemnification is sought, nor is the Company aware of any threatened litigation that may result in claims for indemnification.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Delaware law permits corporations to adopt provisions renouncing any interest or expectancy in certain opportunities that are presented to the corporation or its officers, directors or stockholders. Our amended and restated certificate of incorporation provide that, to the fullest extent permitted by law, certain persons will not have any duty to refrain from (i) engaging in a corporate opportunity in the same or similar business activities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lines of business in which we or our affiliates are engaged or that are deemed to be competing with us or any of our affiliates or (ii) otherwise investing in or providing services to any person that competes with us or our affiliates. In addition, to the fullest extent permitted by law, certain persons will not have any obligation to offer to us or our subsidiaries or affiliates the right to participate in any corporate opportunity in the same or similar business activities or lines of business in which we or our affiliates are engaged or that are deemed to be competing with us or any of our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Pacific Stock Transfer Company. The transfer agent’s address is 6725 Via Austi Parkway, Suite 300, Las Vegas, Nevada 89119.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62329_7"/>
      <w:bookmarkEnd w:id="24"/>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we authorize for use in connection with a specific offering of debt securities,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Matters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or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issue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we will pay the principal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on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if any, we will pay additional amounts on any debt securities held by a person who is not a U.S. person for tax purposes, and whether we can redeem the debt securities if we have to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the series will be issued in whole or in part in the form of a global debt security, the terms and conditions, if any, upon which such global debt security may be exchanged in whole or in part for other individual debt securities in definitive registered form, the depositary (as defined in the applicable prospectus supplement) for such global security and the form of any legend or legends to be borne by any such global security in addition to or in lieu of the legend referred to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due at maturity, and whether the debt securities will be issued with original issue discount;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of the debt securities,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amount payable at the stated maturity of debt securities of the series will not be determinable as of any one or more dates prior to such stated maturity, the amount that will be deemed to be such principal amount as of any such date for any purpose, including the principal amount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will be due and payable upon any maturity other than the stated maturity or which will be deemed to be outstanding as of any such date (or, in any such case, the manner in which such deemed principal amount is to be determined), and if necessary, the manner of determining the equivalent thereof in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or defer the payment of interest and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regard to the debt securities that do not bear interest, the dates for certain required reports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granting special rights to holders when a specified event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provisions relating to or dealing with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of a series may be subordinated, which we refer to as subordinated debt securities, to senior indebtedness (as defined in the applicable prospectus supplement) to the extent set forth in the prospectus supplement relating thereto. To the extent we conduct operations through subsidiaries, the holders of debt securities (whether or not subordinated debt securities) will be structurally subordinated to the creditors of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which we refer to as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Teknova) is a corporation organized and validly existing under the laws of any U.S. domestic jurisdiction and expressly assumes our obligations on the debt securities and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of default, and no event which, after notice or lapse of time, or both, would become an event of default, shall have occurred and be continuing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conditions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that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debt security of that series when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or any debt security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of our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accompanying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of our other indebtedness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outstanding at the time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will be under no obligation to exercise any of its rights or powers under the indenture, unless the trustee receives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reasonable indemnity, to the trustee to institute the proceeding as trustee, and the trustee has not received from the holders of not less than 25%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holder of any debt security will have an absolute and unconditional right to receive payment of the principal of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may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and interest on those debt securities and to institute a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any interest on, any debt security of that series; </w:t>
      </w:r>
      <w:r>
        <w:rPr>
          <w:rFonts w:ascii="Times New Roman" w:hAnsi="Times New Roman"/>
          <w:i/>
          <w:sz w:val="20"/>
        </w:rPr>
        <w:t>provided, however</w:t>
      </w:r>
      <w:r>
        <w:rPr>
          <w:rFonts w:ascii="Times New Roman" w:hAnsi="Times New Roman"/>
          <w:sz w:val="20"/>
        </w:rPr>
        <w:t xml:space="preserve">,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(except for certain obligations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certified public accountants to pay and discharge each installment of principal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U.S. federal income tax law, in either case to the effect that, and such opinion shall confirm based thereon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or Sale” and certain other covenants set forth in the indenture, as well as any additional covenants that may be set forth in the applicable prospectus supplement;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or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certified public accountants to pay and discharge each installment of principal of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w:t>
            </w:r>
          </w:p>
        </w:tc>
      </w:tr>
    </w:tbl>
    <w:p>
      <w:pPr>
        <w:pStyle w:val="TextBody"/>
        <w:bidi w:val="0"/>
        <w:spacing w:before="240" w:after="0"/>
        <w:jc w:val="left"/>
        <w:rPr>
          <w:rFonts w:ascii="Times New Roman" w:hAnsi="Times New Roman"/>
          <w:sz w:val="20"/>
        </w:rPr>
      </w:pPr>
      <w:r>
        <w:rPr>
          <w:rFonts w:ascii="Times New Roman" w:hAnsi="Times New Roman"/>
          <w:i/>
          <w:sz w:val="20"/>
        </w:rPr>
        <w:t>Covenant Defeasance and Events of Default.</w:t>
      </w:r>
      <w:r>
        <w:rPr>
          <w:rFonts w:ascii="Times New Roman" w:hAnsi="Times New Roman"/>
          <w:sz w:val="20"/>
        </w:rPr>
        <w:t xml:space="preserve"> In the event we exercise our option to effect covenant defeasance with respect to any series of debt securities and the debt securities of that series are declared due and payable because of the occurrence of any event of default, the amount of money and/or U.S. government obligations or foreign government obligations on deposit with the trustee will be sufficient to pay amounts due on the debt securities of that series at the time of their stated maturity but may not be sufficient to pay amounts due on the debt securities of that series at the time of the acceleration resulting from the event of default. In such a case, we would remain liable for those payments. </w:t>
      </w:r>
    </w:p>
    <w:p>
      <w:pPr>
        <w:pStyle w:val="TextBody"/>
        <w:bidi w:val="0"/>
        <w:spacing w:before="240" w:after="0"/>
        <w:jc w:val="left"/>
        <w:rPr/>
      </w:pPr>
      <w:r>
        <w:rPr/>
        <w:t>“</w:t>
      </w:r>
      <w:r>
        <w:rPr>
          <w:rFonts w:ascii="Times New Roman" w:hAnsi="Times New Roman"/>
          <w:i/>
          <w:sz w:val="20"/>
        </w:rPr>
        <w:t>Foreign Government Obligations</w:t>
      </w:r>
      <w:r>
        <w:rPr>
          <w:rFonts w:ascii="Times New Roman" w:hAnsi="Times New Roman"/>
          <w:sz w:val="20"/>
        </w:rPr>
        <w:t xml:space="preserve">” means, with respect to debt securities of any series that are denominated in a currency other than U.S. dollars: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obligations of the government that issued or caused to be issued such currency for the payment of which obligations its full faith and credit is pledged which are not callable or redeemable at the option of the issuer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as depositary, or a nominee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i/>
          <w:sz w:val="20"/>
        </w:rPr>
        <w:t>Certificated Debt Securities.</w:t>
      </w:r>
      <w:r>
        <w:rPr>
          <w:rFonts w:ascii="Times New Roman" w:hAnsi="Times New Roman"/>
          <w:sz w:val="20"/>
        </w:rPr>
        <w:t xml:space="preserve"> The holder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The holder may effect the transfer of certificated debt securities and the right to receive the principal of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Global Debt Securities and Book-Entry System.</w:t>
      </w:r>
      <w:r>
        <w:rPr>
          <w:rFonts w:ascii="Times New Roman" w:hAnsi="Times New Roman"/>
          <w:sz w:val="20"/>
        </w:rPr>
        <w:t xml:space="preserve"> Each global debt security representing book-entry debt securities will be deposited with, or on behalf of, the depositary, and registered in the name of the depositary or a nominee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We will require the depositary to agree to follow the following procedures with respect to book-entry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book-entry debt securities will be limited to persons who have accounts with the depositary for the related global debt security, which we refer to as participants, or persons who may hold interests through participants. Upon the issuance of a global debt security, the depositary will credit, on its book-entry registration and transfer system, the participants’ accounts with the respective principal amounts of the book-entry debt securities represented by such global debt security beneficially owned by such participants. The accounts to be credited will be designated by any dealers, underwriters or agents participating in the distribution of the book-entry debt securities. Ownership of book-entry debt securities will be shown on, and the transfer of such ownership interests will be effected only through, records maintained by the depositary for the related global debt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These laws may impair the ability to own, transfer or pledge beneficial interests in book-entry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for a global debt security, or its nominee, is the registered owner of that global debt security, the depositary or its nominee, as the case may be, will be considered the sole owner or holder of the book-entry debt securities represented by such global debt security for all purposes under the indenture. Except as described below, beneficial owners of book-entry debt securities will not be entitled to have securities registered in their names, will not receive or be entitled to receive physical delivery of a certificate in definitive form representing securities and will not be considered the owners or holders of those securities under the indenture. Accordingly, each person beneficially owning book-entry debt securities must rely on the procedures of the depositary for the related global debt security and, if such person is not a participant, on the procedures of the participant through which such person owns its interest, to exercise any rights of a holder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understand, however, that under existing industry practice, the depositary will authorize the persons on whose behalf it holds a global debt security to exercise certain rights of holders of debt securities, and the indenture provides that we, the trustee and our respective agents will treat as the holder of a debt security the persons specified in a written statement of the depositary with respect to that global debt security for purposes of obtaining any consents or directions required to be given by holders of the debt securities pursuant to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will make payments of principal of, and premium and interest on, book-entry debt securities to the depositary or its nominee, as the case may be, as the registered holder of the related global debt security. Teknova, the trustee and any other agent of ours or agent of the trustee will not have any responsibility or liability for any aspect of the records relating to or payments made on account of beneficial ownership interests in a global debt security or for maintaining, supervising or reviewing any records relating to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upon receipt of any payment of principal of, and premium or interest on, a global debt security, will immediately credit participants’ accounts with payments in amounts proportionate to the respective amounts of book-entry debt securities held by each participant as shown on the records of such depositary. We also expect that payments by participants to owners of beneficial interests in book-entry debt securities held through those participants will be governed by standing customer instructions and customary practices, as is now the case with the securities held for the accounts of customers in bearer form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certificated debt securities in exchange for each global debt security if the depositary is at any time unwilling or unable to continue as depositary or ceases to be a clearing agency registered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Act and a successor depositary registered as a clearing agency under the Exchange Act is not appointed by us within 90 days. In addition, we may at any time and in our sole discretion determine not to have the book-entry debt securities of any series represented by one or more global debt securities and, in that event, will issue certificated debt securities in exchange for the global debt securities of that series. Global debt securities will also be exchangeable by the holders for certificated debt securities if an event of default with respect to the book-entry debt securities represented by those global debt securities has occurred and is continuing. Any certificated debt securities issued in exchange for a global debt security will be registered in such name or names as the depositary shall instruct the trustee. We expect that such instructions will be based upon directions received by the depositary from participants with respect to ownership of book-entry debt securities relating to such global debt security. </w:t>
      </w:r>
    </w:p>
    <w:p>
      <w:pPr>
        <w:pStyle w:val="TextBody"/>
        <w:bidi w:val="0"/>
        <w:spacing w:before="240" w:after="0"/>
        <w:jc w:val="left"/>
        <w:rPr>
          <w:rFonts w:ascii="Times New Roman" w:hAnsi="Times New Roman"/>
          <w:sz w:val="20"/>
        </w:rPr>
      </w:pPr>
      <w:r>
        <w:rPr>
          <w:rFonts w:ascii="Times New Roman" w:hAnsi="Times New Roman"/>
          <w:sz w:val="20"/>
        </w:rPr>
        <w:t xml:space="preserve">We have obtained the foregoing information concerning the depositary and the depositary’s book-entry system from sources we believe to be reliable, but we take no responsibility for the accuracy of this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to it by the indenture at the request of any holder of debt securities unless it is offered reasonable security and indemnity against the costs, expenses and liabilities that it might incur.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and provisions of the Trust Indenture Act that are incorporated by reference therein contain limitations on the rights of the trustee, should it become one of our creditors, to obtain payment of claims in certain cases or to realize on certain property received by it in respect of any such claim as security or otherwise. The trustee is permitted to engage in other transactions with us or any of our affiliates;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it acquires any conflicting interest (as defined in the indentures or in the Trust Indenture Act), it must eliminate such conflict or resign.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laws of the State of New York, except to the extent that the Trust Indenture Act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62329_8"/>
      <w:bookmarkEnd w:id="25"/>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the applicable prospectus supplements and free writing prospectuses we have authorized for use in connection with a specific offering, summarizes the material terms and provisions of the warrants that we may offer under this prospectus, which may consist of warrants to purchase common stock, preferred stock or debt securities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we authorize for use in connection with the specific offering. The terms of any warrants offered under a prospectus supplement may differ from the terms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we have authorized for use in connection with a specific offering, and the complete warrant agreements and warrant certificates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Matters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the terms relating to a series of warrants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or prices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agreements and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force the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agreements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exercising their warrants, holders of warrants will not have any of the rights of holders of the securities purchasable upon such exercise,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right to receive payments of principal of, or premium, if any, or interest on, the debt securities purchasable upon exercise or to enforce covenants in the applicable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right to receive dividends, if any, or, payments upon our liquidation, dissolution or winding up or to exercise voting rights, if any.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Warrant Agreement Will Not Be Qualified Under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No warrant agreement will be qualified as an indenture, and no warrant agent will be required to qualify as a trustee, under the Trust Indenture Act. Therefore, holders of warrants issued under a warrant agreement will not have the protection of the Trust Indenture Act with respect to their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Calculation Agent </w:t>
      </w:r>
    </w:p>
    <w:p>
      <w:pPr>
        <w:pStyle w:val="TextBody"/>
        <w:bidi w:val="0"/>
        <w:spacing w:before="120" w:after="0"/>
        <w:jc w:val="left"/>
        <w:rPr>
          <w:rFonts w:ascii="Times New Roman" w:hAnsi="Times New Roman"/>
          <w:sz w:val="20"/>
        </w:rPr>
      </w:pPr>
      <w:r>
        <w:rPr>
          <w:rFonts w:ascii="Times New Roman" w:hAnsi="Times New Roman"/>
          <w:sz w:val="20"/>
        </w:rPr>
        <w:t xml:space="preserve">Calculations relating to warrants may be made by a calculation agent, an institution that we appoint as our agent for this purpose. The prospectus supplement for a particular warrant will name the institution that we have appointed to act as the calculation agent for that warrant as of the original issue date for that warrant. We may appoint a different institution to serve as calculation agent from time to time after the original issue date without the consent or notification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 agent’s determination of any amount of money payable or securities deliverable with respect to a warrant will be final and binding in the absence of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62329_9"/>
      <w:bookmarkEnd w:id="26"/>
      <w:r>
        <w:rPr>
          <w:rFonts w:ascii="Times New Roman" w:hAnsi="Times New Roman"/>
          <w:b/>
          <w:sz w:val="20"/>
        </w:rPr>
        <w:t xml:space="preserve">DESCRIPTION OF RIGHTS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rights to purchase common stock, preferred stock, units or the other securities described in this prospectus. This prospectus and any accompanying prospectus supplement will contain the material terms and conditions for each right. The accompanying prospectus supplement may add, update or change the terms and conditions of the rights as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and conditions of the issue of rights being offered, the rights agreement relating to the rights and the rights certificates representing the rights,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of determining the stockholders entitled to the rights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aggregate number of shares of common stock, preferred stock or other securities purchasable upon exercise of the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currencies in which the rights are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rights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rights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rights will commence and the date on which the right will expire;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rights, including terms, procedures and limitations relating to the distribution, exchange and exercise of the rights.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Rights </w:t>
      </w:r>
    </w:p>
    <w:p>
      <w:pPr>
        <w:pStyle w:val="TextBody"/>
        <w:bidi w:val="0"/>
        <w:spacing w:before="120" w:after="0"/>
        <w:jc w:val="left"/>
        <w:rPr>
          <w:rFonts w:ascii="Times New Roman" w:hAnsi="Times New Roman"/>
          <w:sz w:val="20"/>
        </w:rPr>
      </w:pPr>
      <w:r>
        <w:rPr>
          <w:rFonts w:ascii="Times New Roman" w:hAnsi="Times New Roman"/>
          <w:sz w:val="20"/>
        </w:rPr>
        <w:t xml:space="preserve">Each right will entitle the holder of rights to purchase for cash the principal amount of shares of common stock, preferred stock, units or other securities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 </w:t>
      </w:r>
    </w:p>
    <w:p>
      <w:pPr>
        <w:pStyle w:val="TextBody"/>
        <w:bidi w:val="0"/>
        <w:spacing w:before="240" w:after="0"/>
        <w:jc w:val="left"/>
        <w:rPr>
          <w:rFonts w:ascii="Times New Roman" w:hAnsi="Times New Roman"/>
          <w:sz w:val="20"/>
        </w:rPr>
      </w:pPr>
      <w:r>
        <w:rPr>
          <w:rFonts w:ascii="Times New Roman" w:hAnsi="Times New Roman"/>
          <w:sz w:val="20"/>
        </w:rPr>
        <w:t xml:space="preserve">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stockholders, to or through agents, underwriters, brokers or dealers or through a combination of such methods, including pursuant to standby underwriting arrangements,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62329_10"/>
      <w:bookmarkEnd w:id="27"/>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the applicable prospectus supplement, summarizes the general features of the units that we may offer under this prospectus. You should read any prospectus supplement and any free writing prospectus we authorize for use in connection with a specific offering of units,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62329_11"/>
      <w:bookmarkEnd w:id="28"/>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a global security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example, once we make a payment or give a notice to the legal holder, we have no further responsibility for the payment or notice even if that legal holder is required, under agreements with its participants or customers or by law, to pass the payment or notice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do not recognize an indirect holder as a holder of securities and instead deal only with the depositary that holds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issued only as global securities,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the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any applicable trustee have no responsibility for any aspect of the depositary’s actions or for its records of ownership interests in the global security, nor will we or any applicable trustee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the global security within its book-entry system use immediately available funds, and your broker or bank may require you to do the same;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more than one financial intermediary in the chain of ownership for an investor. We do not monitor and are not responsible for the actions of any of those intermediaries.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The rights of holders and street name investors are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62329_12"/>
      <w:bookmarkEnd w:id="2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direct sales to the public, “at the market” offerings, negotiated transactions, block trades or a combination of these methods. We may sell the securities to or through underwriters or dealers, through agents,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have authorized for use in connection with a specific offering)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the underwriters,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if any,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will be underwriters of the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that are qualified market makers on the Nasdaq Global Market may engage in passive market making transactions in the common stock on the Nasdaq Global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In compliance with guidelines of the Financial Industry Regulatory Authority (“FINRA”), the maximum consideration or discount to be received by any FINRA member or independent broker dealer may not exceed 8% of the aggregate amount of the securities offered pursuant to this prospectus and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62329_13"/>
      <w:bookmarkEnd w:id="3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the validity of the securities offered by this prospectus, and any supplement thereto, will be passed upon for us by Paul Hastings LLP, Palo Alto, California. </w:t>
      </w:r>
    </w:p>
    <w:p>
      <w:pPr>
        <w:pStyle w:val="TextBody"/>
        <w:bidi w:val="0"/>
        <w:spacing w:before="480" w:after="0"/>
        <w:jc w:val="center"/>
        <w:rPr>
          <w:rFonts w:ascii="Times New Roman" w:hAnsi="Times New Roman"/>
          <w:b/>
          <w:sz w:val="20"/>
        </w:rPr>
      </w:pPr>
      <w:bookmarkStart w:id="31" w:name="toc62329_14"/>
      <w:bookmarkEnd w:id="3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Alpha Teknova, Inc. as of December 31, 2024 and for the year ended December 31, 2024 incorporated by reference in this prospectus have been so incorporated by reference in reliance upon the report of Grant Thornton LLP (“Grant Thornton”), independent registered public accountants,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Alpha Teknova, Inc. appearing in Alpha Teknova, Inc.’s Annual Report (Form 10-K) for the year ended December 31, 2023, have been audited by Ernst &amp; Young LLP (“Ernst &amp; Young”), independent registered public accounting firm, as set forth in their report thereon, included therein, and incorporated herein by reference. Such financial statements are incorporated herein by reference in reliance upon such report given on the authority of such firm as experts in accounting and auditing. </w:t>
      </w:r>
    </w:p>
    <w:p>
      <w:pPr>
        <w:pStyle w:val="TextBody"/>
        <w:bidi w:val="0"/>
        <w:spacing w:before="360" w:after="0"/>
        <w:jc w:val="left"/>
        <w:rPr>
          <w:rFonts w:ascii="Times New Roman" w:hAnsi="Times New Roman"/>
          <w:b/>
          <w:sz w:val="20"/>
        </w:rPr>
      </w:pPr>
      <w:r>
        <w:rPr>
          <w:rFonts w:ascii="Times New Roman" w:hAnsi="Times New Roman"/>
          <w:b/>
          <w:sz w:val="20"/>
        </w:rPr>
        <w:t xml:space="preserve">Change in Auditor </w:t>
      </w:r>
    </w:p>
    <w:p>
      <w:pPr>
        <w:pStyle w:val="TextBody"/>
        <w:bidi w:val="0"/>
        <w:spacing w:before="120" w:after="0"/>
        <w:jc w:val="left"/>
        <w:rPr>
          <w:rFonts w:ascii="Times New Roman" w:hAnsi="Times New Roman"/>
          <w:sz w:val="20"/>
        </w:rPr>
      </w:pPr>
      <w:r>
        <w:rPr>
          <w:rFonts w:ascii="Times New Roman" w:hAnsi="Times New Roman"/>
          <w:sz w:val="20"/>
        </w:rPr>
        <w:t xml:space="preserve">On March 26, 2024, the audit committee of our board of directors (the “Audit Committee”) approved the appointment of Grant Thornton as our independent registered public accounting firm, effective March 26, 2024. Grant Thornton replaced Ernst &amp; Young as our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During our fiscal year ended December 31, 2023, and the subsequent interim period through the date of the Current Report on Form 8-K filed with the SEC on April 2, 2024 (the “Form 8-K”), neither we, nor anyone acting on our behalf, consulted Grant Thornton regarding either (i) the application of accounting principles to a specified transaction, either completed or proposed, or the type of audit opinion that might be rendered with respect to our financial statements, and neither a written report nor oral advice was provided to us that Grant Thornton concluded was an important factor considered by us in reaching a decision as to any accounting, auditing, or financial reporting issue; or (ii) any matter that was the subject of a disagreement within the meaning of Item 304(a)(1)(iv) of Regulation S-K or a reportable event within the meaning of Item 304(a)(1)(v)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appointment of Grant Thornton as our independent registered public accounting firm, on March 26, 2024, the Audit Committee dismissed Ernst &amp; Young as our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Young’s audit report on our financial statements as of and for the year ended December 31, 2023, contained an explanatory paragraph related to our ability to continue as a going concern but did not contain an adverse opinion or a disclaimer of opinion, nor was it qualified or modified as to audit scope or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During our fiscal year ended December 31, 2023, and the subsequent interim period through the date of the Form 8-K: (i) there were no disagreements within the meaning of Item 304(a)(1)(iv) of Regulation S-K with Ernst &amp; Young on any matters of accounting principles or practices, financial statement disclosure, or auditing scope and procedures, which disagreements, if not resolved to Ernst &amp; Young’s satisfaction, would have caused Ernst &amp; Young to make reference to the matter in their report on our financial statements for such year, and (ii) there were no reportable events within the meaning of Item 304(a)(1)(v)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item 304(a)(3) of Regulation S-K, we provided Ernst &amp; Young with a copy of the disclosures contained in the Form 8-K prior to its filing with the SEC and requested that Ernst &amp; Young furnish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with a letter addressed to the SEC stating whether or not Ernst &amp; Young agreed with the statements made by us in the Form 8-K and, if not, stating the respects in which it did not agree. A copy of Ernst &amp; Young’s letter dated April 1, 2024, was attached as Exhibit 16.1 to the Form 8-K. </w:t>
      </w:r>
    </w:p>
    <w:p>
      <w:pPr>
        <w:pStyle w:val="TextBody"/>
        <w:bidi w:val="0"/>
        <w:spacing w:before="480" w:after="0"/>
        <w:jc w:val="center"/>
        <w:rPr>
          <w:rFonts w:ascii="Times New Roman" w:hAnsi="Times New Roman"/>
          <w:b/>
          <w:sz w:val="20"/>
        </w:rPr>
      </w:pPr>
      <w:bookmarkStart w:id="32" w:name="toc62329_15"/>
      <w:bookmarkEnd w:id="3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a reporting company and file annual, quarterly and current reports, proxy statements and other information with the SEC. We have filed with the SEC a registration statement on Form S-3 under the Securities Act with respect to the securities being offered under this prospectus. This prospectus does not contain all of the information set forth in the registration statement and the exhibits to the registration statement. For further information with respect to us and the securities being offered under this prospectus, we refer you to the registration statement and the exhibits and schedules filed as a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an Internet site that contains reports, proxy and information statements, and other information regarding issuers that file electronically with the SEC, including Alpha Teknova, Inc. The SEC’s Internet site can be found at </w:t>
      </w:r>
      <w:r>
        <w:rPr>
          <w:rFonts w:ascii="Times New Roman" w:hAnsi="Times New Roman"/>
          <w:i/>
          <w:sz w:val="20"/>
        </w:rPr>
        <w:t>http://www.sec.gov</w:t>
      </w:r>
      <w:r>
        <w:rPr>
          <w:rFonts w:ascii="Times New Roman" w:hAnsi="Times New Roman"/>
          <w:sz w:val="20"/>
        </w:rPr>
        <w:t xml:space="preserve">. Additional information with respect to us can be found on our website at </w:t>
      </w:r>
      <w:r>
        <w:rPr>
          <w:rFonts w:ascii="Times New Roman" w:hAnsi="Times New Roman"/>
          <w:i/>
          <w:sz w:val="20"/>
        </w:rPr>
        <w:t>www.teknova.com</w:t>
      </w:r>
      <w:r>
        <w:rPr>
          <w:rFonts w:ascii="Times New Roman" w:hAnsi="Times New Roman"/>
          <w:sz w:val="20"/>
        </w:rPr>
        <w:t xml:space="preserve">. Any information contained on, or that can be accessed through, our website is not incorporated by reference into, nor is it in any way part of this prospectus and should not be relied upon in connection with making any decision with respect to an investment in our securities. We have included our website address in this prospectus supplement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oc62329_16"/>
      <w:bookmarkEnd w:id="33"/>
      <w:r>
        <w:rPr>
          <w:rFonts w:ascii="Times New Roman" w:hAnsi="Times New Roman"/>
          <w:b/>
          <w:sz w:val="20"/>
        </w:rPr>
        <w:t xml:space="preserve">IMPORTANT 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incorporated by reference into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12">
              <w:r>
                <w:rPr>
                  <w:rStyle w:val="InternetLink"/>
                  <w:rFonts w:ascii="Times New Roman" w:hAnsi="Times New Roman"/>
                  <w:sz w:val="20"/>
                </w:rPr>
                <w:t>Form 10-K</w:t>
              </w:r>
            </w:hyperlink>
            <w:r>
              <w:rPr>
                <w:rFonts w:ascii="Times New Roman" w:hAnsi="Times New Roman"/>
                <w:sz w:val="20"/>
              </w:rPr>
              <w:t xml:space="preserve"> for the year ended December 31, 2024, filed with the SEC on March 7,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2024 from our Definitive Proxy Statement on </w:t>
            </w:r>
            <w:hyperlink r:id="rId13">
              <w:r>
                <w:rPr>
                  <w:rStyle w:val="InternetLink"/>
                  <w:rFonts w:ascii="Times New Roman" w:hAnsi="Times New Roman"/>
                  <w:sz w:val="20"/>
                </w:rPr>
                <w:t>Schedule 14A</w:t>
              </w:r>
            </w:hyperlink>
            <w:r>
              <w:rPr>
                <w:rFonts w:ascii="Times New Roman" w:hAnsi="Times New Roman"/>
                <w:sz w:val="20"/>
              </w:rPr>
              <w:t xml:space="preserve">, filed with the SEC on April 28,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4">
              <w:r>
                <w:rPr>
                  <w:rStyle w:val="InternetLink"/>
                  <w:rFonts w:ascii="Times New Roman" w:hAnsi="Times New Roman"/>
                  <w:sz w:val="20"/>
                </w:rPr>
                <w:t>Form 10-Q</w:t>
              </w:r>
            </w:hyperlink>
            <w:r>
              <w:rPr>
                <w:rFonts w:ascii="Times New Roman" w:hAnsi="Times New Roman"/>
                <w:sz w:val="20"/>
              </w:rPr>
              <w:t xml:space="preserve"> for the quarter ended March 31, 2025, filed with the SEC on May 9,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pPr>
            <w:r>
              <w:rPr>
                <w:rFonts w:ascii="Times New Roman" w:hAnsi="Times New Roman"/>
                <w:sz w:val="20"/>
              </w:rPr>
              <w:t xml:space="preserve">Our Current Reports on Form 8-K (other than portions thereof furnished under Item 2.02 of Form 8-K and exhibits accompanying such reports that relate to such items) filed with the SEC on </w:t>
            </w:r>
            <w:hyperlink r:id="rId15">
              <w:r>
                <w:rPr>
                  <w:rStyle w:val="InternetLink"/>
                  <w:rFonts w:ascii="Times New Roman" w:hAnsi="Times New Roman"/>
                  <w:sz w:val="20"/>
                </w:rPr>
                <w:t>March  4, 2025</w:t>
              </w:r>
            </w:hyperlink>
            <w:r>
              <w:rPr>
                <w:rFonts w:ascii="Times New Roman" w:hAnsi="Times New Roman"/>
                <w:sz w:val="20"/>
              </w:rPr>
              <w:t xml:space="preserve"> and </w:t>
            </w:r>
            <w:hyperlink r:id="rId16">
              <w:r>
                <w:rPr>
                  <w:rStyle w:val="InternetLink"/>
                  <w:rFonts w:ascii="Times New Roman" w:hAnsi="Times New Roman"/>
                  <w:sz w:val="20"/>
                </w:rPr>
                <w:t>June 23,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7">
              <w:r>
                <w:rPr>
                  <w:rStyle w:val="InternetLink"/>
                  <w:rFonts w:ascii="Times New Roman" w:hAnsi="Times New Roman"/>
                  <w:sz w:val="20"/>
                </w:rPr>
                <w:t>Form 8-A</w:t>
              </w:r>
            </w:hyperlink>
            <w:r>
              <w:rPr>
                <w:rFonts w:ascii="Times New Roman" w:hAnsi="Times New Roman"/>
                <w:sz w:val="20"/>
              </w:rPr>
              <w:t xml:space="preserve"> (File No. 001-40538), filed with the SEC on June 24, 2021, including any amendments or reports filed for the purpose of updating such description, including </w:t>
            </w:r>
            <w:hyperlink r:id="rId18">
              <w:r>
                <w:rPr>
                  <w:rStyle w:val="InternetLink"/>
                  <w:rFonts w:ascii="Times New Roman" w:hAnsi="Times New Roman"/>
                  <w:sz w:val="20"/>
                </w:rPr>
                <w:t>Exhibit 4.3</w:t>
              </w:r>
            </w:hyperlink>
            <w:r>
              <w:rPr>
                <w:rFonts w:ascii="Times New Roman" w:hAnsi="Times New Roman"/>
                <w:sz w:val="20"/>
              </w:rPr>
              <w:t xml:space="preserve"> to our Annual Report on Form 10-K for the fiscal year ended December 31, 2024, filed with the SEC on March 7,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forms a part, until we file a post-effective amendment that indicates the termination of the offering of the securities made by this prospectus and such future filings will become a part of this prospectus from the respective dates that such documents are filed with the SEC.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by reference herein modifies or supersedes such statement. Any such statement so modified or superseded shall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any of the documents incorporated by reference in this prospectus from the SEC through the SEC’s website at the address provided above. Documents incorporated by reference are also available from us, without charge. You may obtain documents incorporated by reference in this prospectus by requesting them in writing or by telephone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Alpha Teknova, Inc. </w:t>
      </w:r>
    </w:p>
    <w:p>
      <w:pPr>
        <w:pStyle w:val="TextBody"/>
        <w:bidi w:val="0"/>
        <w:spacing w:before="0" w:after="0"/>
        <w:jc w:val="center"/>
        <w:rPr>
          <w:rFonts w:ascii="Times New Roman" w:hAnsi="Times New Roman"/>
          <w:sz w:val="20"/>
        </w:rPr>
      </w:pPr>
      <w:r>
        <w:rPr>
          <w:rFonts w:ascii="Times New Roman" w:hAnsi="Times New Roman"/>
          <w:sz w:val="20"/>
        </w:rPr>
        <w:t xml:space="preserve">Attn: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2451 Bert Drive </w:t>
      </w:r>
    </w:p>
    <w:p>
      <w:pPr>
        <w:pStyle w:val="TextBody"/>
        <w:bidi w:val="0"/>
        <w:spacing w:before="0" w:after="0"/>
        <w:jc w:val="center"/>
        <w:rPr>
          <w:rFonts w:ascii="Times New Roman" w:hAnsi="Times New Roman"/>
          <w:sz w:val="20"/>
        </w:rPr>
      </w:pPr>
      <w:r>
        <w:rPr>
          <w:rFonts w:ascii="Times New Roman" w:hAnsi="Times New Roman"/>
          <w:sz w:val="20"/>
        </w:rPr>
        <w:t xml:space="preserve">Hollister, CA 95023 </w:t>
      </w:r>
    </w:p>
    <w:p>
      <w:pPr>
        <w:pStyle w:val="TextBody"/>
        <w:bidi w:val="0"/>
        <w:spacing w:before="0" w:after="0"/>
        <w:jc w:val="center"/>
        <w:rPr>
          <w:rFonts w:ascii="Times New Roman" w:hAnsi="Times New Roman"/>
          <w:sz w:val="20"/>
        </w:rPr>
      </w:pPr>
      <w:r>
        <w:rPr>
          <w:rFonts w:ascii="Times New Roman" w:hAnsi="Times New Roman"/>
          <w:sz w:val="20"/>
        </w:rPr>
        <w:t xml:space="preserve">investors@teknova.com </w:t>
      </w:r>
    </w:p>
    <w:p>
      <w:pPr>
        <w:pStyle w:val="TextBody"/>
        <w:bidi w:val="0"/>
        <w:spacing w:before="0" w:after="0"/>
        <w:jc w:val="center"/>
        <w:rPr>
          <w:rFonts w:ascii="Times New Roman" w:hAnsi="Times New Roman"/>
          <w:sz w:val="20"/>
        </w:rPr>
      </w:pPr>
      <w:r>
        <w:rPr>
          <w:rFonts w:ascii="Times New Roman" w:hAnsi="Times New Roman"/>
          <w:sz w:val="20"/>
        </w:rPr>
        <w:t xml:space="preserve">Phone: 1 (781) 235-3060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2400" w:after="0"/>
        <w:jc w:val="center"/>
        <w:rPr/>
      </w:pPr>
      <w:r>
        <w:rPr/>
        <w:t xml:space="preserve">     </w:t>
      </w:r>
      <w:r>
        <w:rPr>
          <w:rFonts w:ascii="Times New Roman" w:hAnsi="Times New Roman"/>
          <w:b/>
          <w:sz w:val="36"/>
        </w:rPr>
        <w:t xml:space="preserve">Shares of Common Stock </w:t>
      </w:r>
    </w:p>
    <w:p>
      <w:pPr>
        <w:pStyle w:val="TextBody"/>
        <w:bidi w:val="0"/>
        <w:spacing w:before="0" w:after="0"/>
        <w:jc w:val="left"/>
        <w:rPr/>
      </w:pPr>
      <w:r>
        <w:rPr/>
        <w:t> </w:t>
      </w:r>
    </w:p>
    <w:p>
      <w:pPr>
        <w:pStyle w:val="TextBody"/>
        <w:bidi w:val="0"/>
        <w:spacing w:before="0" w:after="0"/>
        <w:jc w:val="center"/>
        <w:rPr/>
      </w:pPr>
      <w:r>
        <w:rPr/>
        <w:drawing>
          <wp:inline distT="0" distB="0" distL="0" distR="0">
            <wp:extent cx="1525270" cy="317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1525270" cy="3175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Alpha Teknova,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720" w:after="0"/>
        <w:jc w:val="center"/>
        <w:rPr>
          <w:rFonts w:ascii="Times New Roman" w:hAnsi="Times New Roman"/>
          <w:b/>
          <w:i/>
          <w:sz w:val="22"/>
        </w:rPr>
      </w:pPr>
      <w:r>
        <w:rPr>
          <w:rFonts w:ascii="Times New Roman" w:hAnsi="Times New Roman"/>
          <w:b/>
          <w:i/>
          <w:sz w:val="22"/>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b/>
              </w:rPr>
            </w:pPr>
            <w:r>
              <w:rPr>
                <w:b/>
              </w:rPr>
              <w:t>TD Cowen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William Blair</w:t>
            </w:r>
          </w:p>
        </w:tc>
      </w:tr>
    </w:tbl>
    <w:p>
      <w:pPr>
        <w:pStyle w:val="TextBody"/>
        <w:bidi w:val="0"/>
        <w:spacing w:before="2400" w:after="0"/>
        <w:jc w:val="center"/>
        <w:rPr>
          <w:rFonts w:ascii="Times New Roman" w:hAnsi="Times New Roman"/>
          <w:b/>
          <w:sz w:val="24"/>
        </w:rPr>
      </w:pPr>
      <w:r>
        <w:rPr>
          <w:rFonts w:ascii="Times New Roman" w:hAnsi="Times New Roman"/>
          <w:b/>
          <w:sz w:val="24"/>
        </w:rPr>
        <w:t xml:space="preserve">October   , 2026 </w:t>
      </w:r>
    </w:p>
    <w:p>
      <w:pPr>
        <w:pStyle w:val="TextBody"/>
        <w:bidi w:val="0"/>
        <w:spacing w:before="0" w:after="0"/>
        <w:jc w:val="left"/>
        <w:rPr/>
      </w:pPr>
      <w:r>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50902/000185090226000002/tkno-20251231.htm" TargetMode="External"/><Relationship Id="rId4" Type="http://schemas.openxmlformats.org/officeDocument/2006/relationships/hyperlink" Target="http://www.sec.gov/Archives/edgar/data/../../../ix?doc=/Archives/edgar/data/0001850902/000119312526167248/tkno-20260421.htm" TargetMode="External"/><Relationship Id="rId5" Type="http://schemas.openxmlformats.org/officeDocument/2006/relationships/hyperlink" Target="http://www.sec.gov/Archives/edgar/data/../../../ix?doc=/Archives/edgar/data/0001850902/000185090226000008/tkno-20260331.htm" TargetMode="External"/><Relationship Id="rId6" Type="http://schemas.openxmlformats.org/officeDocument/2006/relationships/hyperlink" Target="http://www.sec.gov/Archives/edgar/data/../../../ix?doc=/Archives/edgar/data/0001850902/000119312526338178/tkno-20260630.htm" TargetMode="External"/><Relationship Id="rId7" Type="http://schemas.openxmlformats.org/officeDocument/2006/relationships/hyperlink" Target="http://www.sec.gov/Archives/edgar/data/../../../ix?doc=/Archives/edgar/data/0001850902/000185090226000007/tkno-20260504.htm" TargetMode="External"/><Relationship Id="rId8" Type="http://schemas.openxmlformats.org/officeDocument/2006/relationships/hyperlink" Target="http://www.sec.gov/Archives/edgar/data/../../../ix?doc=/Archives/edgar/data/0001850902/000185090226000011/tkno-20260527.htm" TargetMode="External"/><Relationship Id="rId9" Type="http://schemas.openxmlformats.org/officeDocument/2006/relationships/hyperlink" Target="http://www.sec.gov/Archives/edgar/data/1850902/000119312521197865/d186538d8a12b.htm" TargetMode="External"/><Relationship Id="rId10" Type="http://schemas.openxmlformats.org/officeDocument/2006/relationships/hyperlink" Target="http://www.sec.gov/Archives/edgar/data/1850902/000095017023010926/tkno-ex4_3.htm" TargetMode="External"/><Relationship Id="rId11" Type="http://schemas.openxmlformats.org/officeDocument/2006/relationships/image" Target="media/image2.jpeg"/><Relationship Id="rId12" Type="http://schemas.openxmlformats.org/officeDocument/2006/relationships/hyperlink" Target="http://www.sec.gov/Archives/edgar/data/../../../ix?doc=/Archives/edgar/data/0001850902/000095017025035705/tkno-20241231.htm" TargetMode="External"/><Relationship Id="rId13" Type="http://schemas.openxmlformats.org/officeDocument/2006/relationships/hyperlink" Target="http://www.sec.gov/Archives/edgar/data/1850902/000095017025059353/tkno-def14a-20241231.htm" TargetMode="External"/><Relationship Id="rId14" Type="http://schemas.openxmlformats.org/officeDocument/2006/relationships/hyperlink" Target="http://www.sec.gov/Archives/edgar/data/../../../ix?doc=/Archives/edgar/data/0001850902/000095017025068050/tkno-20250331.htm" TargetMode="External"/><Relationship Id="rId15" Type="http://schemas.openxmlformats.org/officeDocument/2006/relationships/hyperlink" Target="http://www.sec.gov/Archives/edgar/data/../../../ix?doc=/Archives/edgar/data/0001850902/000095017025031995/tkno-20250304.htm" TargetMode="External"/><Relationship Id="rId16" Type="http://schemas.openxmlformats.org/officeDocument/2006/relationships/hyperlink" Target="http://www.sec.gov/Archives/edgar/data/../../../ix?doc=/Archives/edgar/data/0001850902/000095017025089004/tkno-20250617.htm" TargetMode="External"/><Relationship Id="rId17" Type="http://schemas.openxmlformats.org/officeDocument/2006/relationships/hyperlink" Target="http://www.sec.gov/Archives/edgar/data/1850902/000119312521197865/d186538d8a12b.htm" TargetMode="External"/><Relationship Id="rId18" Type="http://schemas.openxmlformats.org/officeDocument/2006/relationships/hyperlink" Target="http://www.sec.gov/Archives/edgar/data/1850902/000095017023010926/tkno-ex4_3.htm" TargetMode="External"/><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94</Pages>
  <Words>37523</Words>
  <Characters>198321</Characters>
  <CharactersWithSpaces>236661</CharactersWithSpaces>
  <Paragraphs>2387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